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CB9C" w14:textId="11B3CECF" w:rsidR="002351BB" w:rsidRDefault="002351BB" w:rsidP="002351B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#118-e</w:t>
      </w:r>
      <w:r>
        <w:rPr>
          <w:rFonts w:ascii="Arial" w:hAnsi="Arial" w:cs="Arial"/>
          <w:sz w:val="22"/>
          <w:szCs w:val="22"/>
        </w:rPr>
        <w:tab/>
      </w:r>
      <w:r w:rsidR="001D03D5" w:rsidRPr="001D03D5">
        <w:rPr>
          <w:rFonts w:ascii="Arial" w:hAnsi="Arial" w:cs="Arial"/>
          <w:sz w:val="22"/>
          <w:szCs w:val="22"/>
        </w:rPr>
        <w:t>R2-2205749</w:t>
      </w:r>
    </w:p>
    <w:p w14:paraId="7B0EFF80" w14:textId="77777777" w:rsidR="002351BB" w:rsidRDefault="002351BB" w:rsidP="002351BB">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 xml:space="preserve">eMeeting, </w:t>
      </w:r>
      <w:bookmarkEnd w:id="2"/>
      <w:bookmarkEnd w:id="3"/>
      <w:r>
        <w:rPr>
          <w:rFonts w:ascii="Arial" w:eastAsia="Malgun Gothic" w:hAnsi="Arial" w:cs="Arial"/>
          <w:sz w:val="22"/>
          <w:szCs w:val="22"/>
          <w:lang w:val="en-US" w:eastAsia="en-US"/>
        </w:rPr>
        <w:t>9-20 May 2022</w:t>
      </w:r>
      <w:bookmarkEnd w:id="1"/>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08AFCB96"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EE6626" w:rsidRPr="00EE6626">
        <w:rPr>
          <w:rFonts w:ascii="Arial" w:hAnsi="Arial" w:cs="Arial"/>
          <w:b w:val="0"/>
          <w:sz w:val="22"/>
        </w:rPr>
        <w:t>6.1.3.1</w:t>
      </w:r>
      <w:r w:rsidR="00EE6626">
        <w:rPr>
          <w:rFonts w:ascii="Arial" w:hAnsi="Arial" w:cs="Arial"/>
          <w:b w:val="0"/>
          <w:sz w:val="22"/>
        </w:rPr>
        <w:t xml:space="preserve"> </w:t>
      </w:r>
      <w:r w:rsidR="00EE6626" w:rsidRPr="00EE6626">
        <w:rPr>
          <w:rFonts w:ascii="Arial" w:hAnsi="Arial" w:cs="Arial"/>
          <w:b w:val="0"/>
          <w:sz w:val="22"/>
        </w:rPr>
        <w:t>Control Plane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4D52364D"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C21894" w:rsidRPr="00C21894">
        <w:rPr>
          <w:rFonts w:ascii="Arial" w:hAnsi="Arial" w:cs="Arial"/>
          <w:b w:val="0"/>
          <w:bCs/>
          <w:sz w:val="22"/>
          <w:lang w:val="en-US"/>
        </w:rPr>
        <w:t>Multicast session start and Paging</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3FDD03BA" w14:textId="5942588F" w:rsidR="00EC3266" w:rsidRDefault="00D4105E" w:rsidP="00F34F05">
      <w:pPr>
        <w:rPr>
          <w:lang w:val="en-GB" w:eastAsia="zh-CN"/>
        </w:rPr>
      </w:pPr>
      <w:r>
        <w:rPr>
          <w:lang w:val="en-GB" w:eastAsia="zh-CN"/>
        </w:rPr>
        <w:t>The following topics are discussed in this contribution:</w:t>
      </w:r>
    </w:p>
    <w:p w14:paraId="614C5CC9" w14:textId="713A1649" w:rsidR="00D4105E" w:rsidRDefault="00D4105E" w:rsidP="00D4105E">
      <w:pPr>
        <w:pStyle w:val="ListParagraph"/>
        <w:numPr>
          <w:ilvl w:val="0"/>
          <w:numId w:val="12"/>
        </w:numPr>
        <w:rPr>
          <w:lang w:val="en-GB" w:eastAsia="zh-CN"/>
        </w:rPr>
      </w:pPr>
      <w:r>
        <w:rPr>
          <w:lang w:val="en-GB" w:eastAsia="zh-CN"/>
        </w:rPr>
        <w:t>Multicast session start and paging</w:t>
      </w:r>
    </w:p>
    <w:p w14:paraId="5C75E5CE" w14:textId="4007229C" w:rsidR="00D4105E" w:rsidRPr="00D4105E" w:rsidRDefault="00D4105E" w:rsidP="00D4105E">
      <w:pPr>
        <w:pStyle w:val="ListParagraph"/>
        <w:numPr>
          <w:ilvl w:val="0"/>
          <w:numId w:val="12"/>
        </w:numPr>
        <w:rPr>
          <w:lang w:val="en-GB" w:eastAsia="zh-CN"/>
        </w:rPr>
      </w:pPr>
      <w:r>
        <w:rPr>
          <w:lang w:val="en-GB" w:eastAsia="zh-CN"/>
        </w:rPr>
        <w:t xml:space="preserve">TMGI reporting </w:t>
      </w:r>
      <w:r w:rsidR="00820689">
        <w:rPr>
          <w:lang w:val="en-GB" w:eastAsia="zh-CN"/>
        </w:rPr>
        <w:t>with</w:t>
      </w:r>
      <w:r>
        <w:rPr>
          <w:lang w:val="en-GB" w:eastAsia="zh-CN"/>
        </w:rPr>
        <w:t xml:space="preserve"> MRB setup/release</w:t>
      </w:r>
    </w:p>
    <w:p w14:paraId="6F8A1D5D" w14:textId="0ED1118E" w:rsidR="004D10CC" w:rsidRDefault="004D10CC" w:rsidP="004D10CC">
      <w:pPr>
        <w:pStyle w:val="Heading1"/>
      </w:pPr>
      <w:bookmarkStart w:id="4" w:name="_Toc242573354"/>
      <w:r>
        <w:t>Background</w:t>
      </w:r>
    </w:p>
    <w:p w14:paraId="5E3E1518" w14:textId="6AE0AB08" w:rsidR="00E03170" w:rsidRPr="00E03170" w:rsidRDefault="00E03170" w:rsidP="00D2797B">
      <w:pPr>
        <w:rPr>
          <w:b/>
          <w:bCs/>
          <w:lang w:val="en-GB" w:eastAsia="zh-CN"/>
        </w:rPr>
      </w:pPr>
      <w:r w:rsidRPr="00E03170">
        <w:rPr>
          <w:b/>
          <w:bCs/>
          <w:lang w:val="en-GB" w:eastAsia="zh-CN"/>
        </w:rPr>
        <w:t>Paging for multicast session start</w:t>
      </w:r>
    </w:p>
    <w:p w14:paraId="059B316E" w14:textId="7D29C52F" w:rsidR="00D2797B" w:rsidRPr="00D2797B" w:rsidRDefault="00D2797B" w:rsidP="00D2797B">
      <w:pPr>
        <w:rPr>
          <w:lang w:val="en-GB" w:eastAsia="zh-CN"/>
        </w:rPr>
      </w:pPr>
      <w:r>
        <w:rPr>
          <w:lang w:val="en-GB" w:eastAsia="zh-CN"/>
        </w:rPr>
        <w:t xml:space="preserve">In section 5.3.2.3 "Reception of the </w:t>
      </w:r>
      <w:r>
        <w:rPr>
          <w:i/>
          <w:iCs/>
          <w:lang w:val="en-GB" w:eastAsia="zh-CN"/>
        </w:rPr>
        <w:t>Paging message</w:t>
      </w:r>
      <w:r>
        <w:rPr>
          <w:lang w:val="en-GB" w:eastAsia="zh-CN"/>
        </w:rPr>
        <w:t xml:space="preserve"> by the UE"</w:t>
      </w:r>
      <w:r w:rsidR="00C46CCE">
        <w:rPr>
          <w:lang w:val="en-GB" w:eastAsia="zh-CN"/>
        </w:rPr>
        <w:t xml:space="preserve"> in 38.331</w:t>
      </w:r>
      <w:r>
        <w:rPr>
          <w:lang w:val="en-GB" w:eastAsia="zh-CN"/>
        </w:rPr>
        <w:t xml:space="preserve"> it is specified that the UE forwards the TMGI(s) included in the </w:t>
      </w:r>
      <w:r>
        <w:rPr>
          <w:i/>
          <w:iCs/>
          <w:lang w:val="en-GB" w:eastAsia="zh-CN"/>
        </w:rPr>
        <w:t xml:space="preserve">pagingGroupList, </w:t>
      </w:r>
      <w:r>
        <w:rPr>
          <w:lang w:val="en-GB" w:eastAsia="zh-CN"/>
        </w:rPr>
        <w:t>for which the UE has joined an MBS session, to the upper layers. Furthermore</w:t>
      </w:r>
      <w:r w:rsidR="00BC4512">
        <w:rPr>
          <w:lang w:val="en-GB" w:eastAsia="zh-CN"/>
        </w:rPr>
        <w:t xml:space="preserve"> </w:t>
      </w:r>
      <w:r>
        <w:rPr>
          <w:lang w:val="en-GB" w:eastAsia="zh-CN"/>
        </w:rPr>
        <w:t>the UE triggers RRC resume procedure when</w:t>
      </w:r>
      <w:r w:rsidR="00E95C76">
        <w:rPr>
          <w:lang w:val="en-GB" w:eastAsia="zh-CN"/>
        </w:rPr>
        <w:t xml:space="preserve"> the UE is in RRC_INACTIVE and </w:t>
      </w:r>
      <w:r w:rsidR="00BC4512">
        <w:rPr>
          <w:lang w:val="en-GB" w:eastAsia="zh-CN"/>
        </w:rPr>
        <w:t>did</w:t>
      </w:r>
      <w:r w:rsidR="00E95C76">
        <w:rPr>
          <w:lang w:val="en-GB" w:eastAsia="zh-CN"/>
        </w:rPr>
        <w:t xml:space="preserve"> not receive CM_IDLE mode paging</w:t>
      </w:r>
      <w:r>
        <w:rPr>
          <w:lang w:val="en-GB" w:eastAsia="zh-CN"/>
        </w:rPr>
        <w:t>:</w:t>
      </w:r>
    </w:p>
    <w:p w14:paraId="6AF145B5" w14:textId="77777777" w:rsidR="00D2797B" w:rsidRPr="00D2797B" w:rsidRDefault="00D2797B" w:rsidP="00D2797B">
      <w:pPr>
        <w:spacing w:after="0"/>
        <w:rPr>
          <w:rFonts w:ascii="Times New Roman" w:hAnsi="Times New Roman"/>
          <w:color w:val="2E74B5" w:themeColor="accent5" w:themeShade="BF"/>
          <w:sz w:val="18"/>
          <w:szCs w:val="18"/>
        </w:rPr>
      </w:pPr>
      <w:r w:rsidRPr="00D2797B">
        <w:rPr>
          <w:rFonts w:ascii="Times New Roman" w:hAnsi="Times New Roman"/>
          <w:color w:val="2E74B5" w:themeColor="accent5" w:themeShade="BF"/>
          <w:sz w:val="18"/>
          <w:szCs w:val="18"/>
        </w:rPr>
        <w:t xml:space="preserve">Upon receiving the </w:t>
      </w:r>
      <w:r w:rsidRPr="00D2797B">
        <w:rPr>
          <w:rFonts w:ascii="Times New Roman" w:hAnsi="Times New Roman"/>
          <w:i/>
          <w:color w:val="2E74B5" w:themeColor="accent5" w:themeShade="BF"/>
          <w:sz w:val="18"/>
          <w:szCs w:val="18"/>
        </w:rPr>
        <w:t>Paging</w:t>
      </w:r>
      <w:r w:rsidRPr="00D2797B">
        <w:rPr>
          <w:rFonts w:ascii="Times New Roman" w:hAnsi="Times New Roman"/>
          <w:color w:val="2E74B5" w:themeColor="accent5" w:themeShade="BF"/>
          <w:sz w:val="18"/>
          <w:szCs w:val="18"/>
        </w:rPr>
        <w:t xml:space="preserve"> message, the UE shall:</w:t>
      </w:r>
    </w:p>
    <w:p w14:paraId="0D94F79E" w14:textId="6198A835" w:rsidR="00D2797B" w:rsidRPr="00D2797B" w:rsidRDefault="00D2797B" w:rsidP="00D2797B">
      <w:pPr>
        <w:pStyle w:val="B3"/>
        <w:spacing w:after="0"/>
        <w:rPr>
          <w:color w:val="2E74B5" w:themeColor="accent5" w:themeShade="BF"/>
          <w:sz w:val="18"/>
          <w:szCs w:val="18"/>
        </w:rPr>
      </w:pPr>
      <w:r>
        <w:rPr>
          <w:color w:val="2E74B5" w:themeColor="accent5" w:themeShade="BF"/>
          <w:sz w:val="18"/>
          <w:szCs w:val="18"/>
        </w:rPr>
        <w:t>…</w:t>
      </w:r>
    </w:p>
    <w:p w14:paraId="26EC1FEC" w14:textId="77777777" w:rsidR="00D2797B" w:rsidRPr="00D2797B" w:rsidRDefault="00D2797B" w:rsidP="00D2797B">
      <w:pPr>
        <w:pStyle w:val="B1"/>
        <w:spacing w:after="0"/>
        <w:rPr>
          <w:color w:val="2E74B5" w:themeColor="accent5" w:themeShade="BF"/>
          <w:sz w:val="18"/>
          <w:szCs w:val="18"/>
        </w:rPr>
      </w:pPr>
      <w:r w:rsidRPr="00D2797B">
        <w:rPr>
          <w:color w:val="2E74B5" w:themeColor="accent5" w:themeShade="BF"/>
          <w:sz w:val="18"/>
          <w:szCs w:val="18"/>
        </w:rPr>
        <w:t>1&gt;</w:t>
      </w:r>
      <w:r w:rsidRPr="00D2797B">
        <w:rPr>
          <w:color w:val="2E74B5" w:themeColor="accent5" w:themeShade="BF"/>
          <w:sz w:val="18"/>
          <w:szCs w:val="18"/>
        </w:rPr>
        <w:tab/>
        <w:t xml:space="preserve">for each </w:t>
      </w:r>
      <w:r w:rsidRPr="00D2797B">
        <w:rPr>
          <w:i/>
          <w:color w:val="2E74B5" w:themeColor="accent5" w:themeShade="BF"/>
          <w:sz w:val="18"/>
          <w:szCs w:val="18"/>
        </w:rPr>
        <w:t xml:space="preserve">TMGI </w:t>
      </w:r>
      <w:r w:rsidRPr="00D2797B">
        <w:rPr>
          <w:color w:val="2E74B5" w:themeColor="accent5" w:themeShade="BF"/>
          <w:sz w:val="18"/>
          <w:szCs w:val="18"/>
        </w:rPr>
        <w:t xml:space="preserve">included in </w:t>
      </w:r>
      <w:r w:rsidRPr="00D2797B">
        <w:rPr>
          <w:i/>
          <w:color w:val="2E74B5" w:themeColor="accent5" w:themeShade="BF"/>
          <w:sz w:val="18"/>
          <w:szCs w:val="18"/>
        </w:rPr>
        <w:t>pagingGroupList</w:t>
      </w:r>
      <w:r w:rsidRPr="00D2797B">
        <w:rPr>
          <w:color w:val="2E74B5" w:themeColor="accent5" w:themeShade="BF"/>
          <w:sz w:val="18"/>
          <w:szCs w:val="18"/>
        </w:rPr>
        <w:t xml:space="preserve">, if any, included in the </w:t>
      </w:r>
      <w:r w:rsidRPr="00D2797B">
        <w:rPr>
          <w:i/>
          <w:color w:val="2E74B5" w:themeColor="accent5" w:themeShade="BF"/>
          <w:sz w:val="18"/>
          <w:szCs w:val="18"/>
        </w:rPr>
        <w:t>Paging</w:t>
      </w:r>
      <w:r w:rsidRPr="00D2797B">
        <w:rPr>
          <w:color w:val="2E74B5" w:themeColor="accent5" w:themeShade="BF"/>
          <w:sz w:val="18"/>
          <w:szCs w:val="18"/>
        </w:rPr>
        <w:t xml:space="preserve"> message:</w:t>
      </w:r>
    </w:p>
    <w:p w14:paraId="4B916B10" w14:textId="77777777" w:rsidR="00D2797B" w:rsidRPr="00D2797B" w:rsidRDefault="00D2797B" w:rsidP="00D2797B">
      <w:pPr>
        <w:pStyle w:val="B2"/>
        <w:spacing w:after="0"/>
        <w:rPr>
          <w:color w:val="2E74B5" w:themeColor="accent5" w:themeShade="BF"/>
          <w:sz w:val="18"/>
          <w:szCs w:val="18"/>
        </w:rPr>
      </w:pPr>
      <w:r w:rsidRPr="00D2797B">
        <w:rPr>
          <w:color w:val="2E74B5" w:themeColor="accent5" w:themeShade="BF"/>
          <w:sz w:val="18"/>
          <w:szCs w:val="18"/>
        </w:rPr>
        <w:t>2&gt;</w:t>
      </w:r>
      <w:r w:rsidRPr="00D2797B">
        <w:rPr>
          <w:color w:val="2E74B5" w:themeColor="accent5" w:themeShade="BF"/>
          <w:sz w:val="18"/>
          <w:szCs w:val="18"/>
        </w:rPr>
        <w:tab/>
        <w:t xml:space="preserve">if the UE has joined an MBS session indicated by the </w:t>
      </w:r>
      <w:r w:rsidRPr="00D2797B">
        <w:rPr>
          <w:i/>
          <w:color w:val="2E74B5" w:themeColor="accent5" w:themeShade="BF"/>
          <w:sz w:val="18"/>
          <w:szCs w:val="18"/>
        </w:rPr>
        <w:t>TMGI</w:t>
      </w:r>
      <w:r w:rsidRPr="00D2797B">
        <w:rPr>
          <w:color w:val="2E74B5" w:themeColor="accent5" w:themeShade="BF"/>
          <w:sz w:val="18"/>
          <w:szCs w:val="18"/>
        </w:rPr>
        <w:t xml:space="preserve"> included in the </w:t>
      </w:r>
      <w:r w:rsidRPr="00D2797B">
        <w:rPr>
          <w:i/>
          <w:color w:val="2E74B5" w:themeColor="accent5" w:themeShade="BF"/>
          <w:sz w:val="18"/>
          <w:szCs w:val="18"/>
        </w:rPr>
        <w:t>pagingGroupList</w:t>
      </w:r>
      <w:r w:rsidRPr="00D2797B">
        <w:rPr>
          <w:color w:val="2E74B5" w:themeColor="accent5" w:themeShade="BF"/>
          <w:sz w:val="18"/>
          <w:szCs w:val="18"/>
        </w:rPr>
        <w:t>:</w:t>
      </w:r>
    </w:p>
    <w:p w14:paraId="24C525D9" w14:textId="77777777" w:rsidR="00D2797B" w:rsidRPr="00D2797B" w:rsidRDefault="00D2797B" w:rsidP="00D2797B">
      <w:pPr>
        <w:pStyle w:val="B3"/>
        <w:spacing w:after="0"/>
        <w:rPr>
          <w:color w:val="2E74B5" w:themeColor="accent5" w:themeShade="BF"/>
          <w:sz w:val="18"/>
          <w:szCs w:val="18"/>
        </w:rPr>
      </w:pPr>
      <w:r w:rsidRPr="00D2797B">
        <w:rPr>
          <w:color w:val="2E74B5" w:themeColor="accent5" w:themeShade="BF"/>
          <w:sz w:val="18"/>
          <w:szCs w:val="18"/>
        </w:rPr>
        <w:t>3&gt;</w:t>
      </w:r>
      <w:r w:rsidRPr="00D2797B">
        <w:rPr>
          <w:color w:val="2E74B5" w:themeColor="accent5" w:themeShade="BF"/>
          <w:sz w:val="18"/>
          <w:szCs w:val="18"/>
        </w:rPr>
        <w:tab/>
        <w:t xml:space="preserve">forward the </w:t>
      </w:r>
      <w:r w:rsidRPr="00D2797B">
        <w:rPr>
          <w:i/>
          <w:color w:val="2E74B5" w:themeColor="accent5" w:themeShade="BF"/>
          <w:sz w:val="18"/>
          <w:szCs w:val="18"/>
        </w:rPr>
        <w:t>TMGI</w:t>
      </w:r>
      <w:r w:rsidRPr="00D2797B">
        <w:rPr>
          <w:color w:val="2E74B5" w:themeColor="accent5" w:themeShade="BF"/>
          <w:sz w:val="18"/>
          <w:szCs w:val="18"/>
        </w:rPr>
        <w:t xml:space="preserve"> to the upper layers;</w:t>
      </w:r>
    </w:p>
    <w:p w14:paraId="3A49B1ED" w14:textId="77777777" w:rsidR="00D2797B" w:rsidRPr="00D2797B" w:rsidRDefault="00D2797B" w:rsidP="00D2797B">
      <w:pPr>
        <w:pStyle w:val="B1"/>
        <w:spacing w:after="0"/>
        <w:rPr>
          <w:color w:val="2E74B5" w:themeColor="accent5" w:themeShade="BF"/>
          <w:sz w:val="18"/>
          <w:szCs w:val="18"/>
        </w:rPr>
      </w:pPr>
      <w:r w:rsidRPr="00D2797B">
        <w:rPr>
          <w:color w:val="2E74B5" w:themeColor="accent5" w:themeShade="BF"/>
          <w:sz w:val="18"/>
          <w:szCs w:val="18"/>
        </w:rPr>
        <w:t>1&gt;</w:t>
      </w:r>
      <w:r w:rsidRPr="00D2797B">
        <w:rPr>
          <w:color w:val="2E74B5" w:themeColor="accent5" w:themeShade="BF"/>
          <w:sz w:val="18"/>
          <w:szCs w:val="18"/>
        </w:rPr>
        <w:tab/>
        <w:t xml:space="preserve">if in RRC_INACTIVE and the UE has joined one or more MBS session(s) indicated by the </w:t>
      </w:r>
      <w:r w:rsidRPr="00D2797B">
        <w:rPr>
          <w:i/>
          <w:color w:val="2E74B5" w:themeColor="accent5" w:themeShade="BF"/>
          <w:sz w:val="18"/>
          <w:szCs w:val="18"/>
        </w:rPr>
        <w:t>TMGI</w:t>
      </w:r>
      <w:r w:rsidRPr="00D2797B">
        <w:rPr>
          <w:color w:val="2E74B5" w:themeColor="accent5" w:themeShade="BF"/>
          <w:sz w:val="18"/>
          <w:szCs w:val="18"/>
        </w:rPr>
        <w:t xml:space="preserve"> included in the </w:t>
      </w:r>
      <w:r w:rsidRPr="00D2797B">
        <w:rPr>
          <w:i/>
          <w:color w:val="2E74B5" w:themeColor="accent5" w:themeShade="BF"/>
          <w:sz w:val="18"/>
          <w:szCs w:val="18"/>
        </w:rPr>
        <w:t>pagingGroupList</w:t>
      </w:r>
      <w:r w:rsidRPr="00D2797B">
        <w:rPr>
          <w:color w:val="2E74B5" w:themeColor="accent5" w:themeShade="BF"/>
          <w:sz w:val="18"/>
          <w:szCs w:val="18"/>
        </w:rPr>
        <w:t>;</w:t>
      </w:r>
      <w:r w:rsidRPr="00D2797B">
        <w:rPr>
          <w:i/>
          <w:color w:val="2E74B5" w:themeColor="accent5" w:themeShade="BF"/>
          <w:sz w:val="18"/>
          <w:szCs w:val="18"/>
        </w:rPr>
        <w:t xml:space="preserve"> </w:t>
      </w:r>
      <w:r w:rsidRPr="00D2797B">
        <w:rPr>
          <w:color w:val="2E74B5" w:themeColor="accent5" w:themeShade="BF"/>
          <w:sz w:val="18"/>
          <w:szCs w:val="18"/>
        </w:rPr>
        <w:t>and</w:t>
      </w:r>
    </w:p>
    <w:p w14:paraId="383B9E80" w14:textId="77777777" w:rsidR="00D2797B" w:rsidRPr="00D2797B" w:rsidRDefault="00D2797B" w:rsidP="00D2797B">
      <w:pPr>
        <w:pStyle w:val="B1"/>
        <w:spacing w:after="0"/>
        <w:rPr>
          <w:color w:val="2E74B5" w:themeColor="accent5" w:themeShade="BF"/>
          <w:sz w:val="18"/>
          <w:szCs w:val="18"/>
        </w:rPr>
      </w:pPr>
      <w:r w:rsidRPr="00D2797B">
        <w:rPr>
          <w:color w:val="2E74B5" w:themeColor="accent5" w:themeShade="BF"/>
          <w:sz w:val="18"/>
          <w:szCs w:val="18"/>
        </w:rPr>
        <w:t>1&gt;</w:t>
      </w:r>
      <w:r w:rsidRPr="00D2797B">
        <w:rPr>
          <w:color w:val="2E74B5" w:themeColor="accent5" w:themeShade="BF"/>
          <w:sz w:val="18"/>
          <w:szCs w:val="18"/>
        </w:rPr>
        <w:tab/>
        <w:t xml:space="preserve">if none of the </w:t>
      </w:r>
      <w:r w:rsidRPr="00D2797B">
        <w:rPr>
          <w:i/>
          <w:color w:val="2E74B5" w:themeColor="accent5" w:themeShade="BF"/>
          <w:sz w:val="18"/>
          <w:szCs w:val="18"/>
        </w:rPr>
        <w:t>ue-Identity</w:t>
      </w:r>
      <w:r w:rsidRPr="00D2797B">
        <w:rPr>
          <w:color w:val="2E74B5" w:themeColor="accent5" w:themeShade="BF"/>
          <w:sz w:val="18"/>
          <w:szCs w:val="18"/>
        </w:rPr>
        <w:t xml:space="preserve"> included in any of the </w:t>
      </w:r>
      <w:r w:rsidRPr="00D2797B">
        <w:rPr>
          <w:i/>
          <w:color w:val="2E74B5" w:themeColor="accent5" w:themeShade="BF"/>
          <w:sz w:val="18"/>
          <w:szCs w:val="18"/>
        </w:rPr>
        <w:t>PagingRecord</w:t>
      </w:r>
      <w:r w:rsidRPr="00D2797B">
        <w:rPr>
          <w:color w:val="2E74B5" w:themeColor="accent5" w:themeShade="BF"/>
          <w:sz w:val="18"/>
          <w:szCs w:val="18"/>
        </w:rPr>
        <w:t xml:space="preserve">, if included in the </w:t>
      </w:r>
      <w:r w:rsidRPr="00D2797B">
        <w:rPr>
          <w:i/>
          <w:color w:val="2E74B5" w:themeColor="accent5" w:themeShade="BF"/>
          <w:sz w:val="18"/>
          <w:szCs w:val="18"/>
        </w:rPr>
        <w:t>Paging</w:t>
      </w:r>
      <w:r w:rsidRPr="00D2797B">
        <w:rPr>
          <w:color w:val="2E74B5" w:themeColor="accent5" w:themeShade="BF"/>
          <w:sz w:val="18"/>
          <w:szCs w:val="18"/>
        </w:rPr>
        <w:t xml:space="preserve"> message, matches the UE identity allocated by upper layers:</w:t>
      </w:r>
    </w:p>
    <w:p w14:paraId="623C6053" w14:textId="77777777" w:rsidR="00D2797B" w:rsidRPr="00D2797B" w:rsidRDefault="00D2797B" w:rsidP="00D2797B">
      <w:pPr>
        <w:pStyle w:val="B2"/>
        <w:spacing w:after="0"/>
        <w:rPr>
          <w:color w:val="2E74B5" w:themeColor="accent5" w:themeShade="BF"/>
          <w:sz w:val="18"/>
          <w:szCs w:val="18"/>
        </w:rPr>
      </w:pPr>
      <w:r w:rsidRPr="00D2797B">
        <w:rPr>
          <w:color w:val="2E74B5" w:themeColor="accent5" w:themeShade="BF"/>
          <w:sz w:val="18"/>
          <w:szCs w:val="18"/>
        </w:rPr>
        <w:t>2&gt;</w:t>
      </w:r>
      <w:r w:rsidRPr="00D2797B">
        <w:rPr>
          <w:color w:val="2E74B5" w:themeColor="accent5" w:themeShade="BF"/>
          <w:sz w:val="18"/>
          <w:szCs w:val="18"/>
        </w:rPr>
        <w:tab/>
        <w:t xml:space="preserve">initiate the RRC connection resumption procedure according to 5.3.13 with </w:t>
      </w:r>
      <w:r w:rsidRPr="00D2797B">
        <w:rPr>
          <w:i/>
          <w:color w:val="2E74B5" w:themeColor="accent5" w:themeShade="BF"/>
          <w:sz w:val="18"/>
          <w:szCs w:val="18"/>
        </w:rPr>
        <w:t xml:space="preserve">resumeCause </w:t>
      </w:r>
      <w:r w:rsidRPr="00D2797B">
        <w:rPr>
          <w:color w:val="2E74B5" w:themeColor="accent5" w:themeShade="BF"/>
          <w:sz w:val="18"/>
          <w:szCs w:val="18"/>
        </w:rPr>
        <w:t>set as below:</w:t>
      </w:r>
    </w:p>
    <w:p w14:paraId="41484976" w14:textId="77777777" w:rsidR="00D2797B" w:rsidRPr="00D2797B" w:rsidRDefault="00D2797B" w:rsidP="00D2797B">
      <w:pPr>
        <w:pStyle w:val="B3"/>
        <w:spacing w:after="0"/>
        <w:rPr>
          <w:color w:val="2E74B5" w:themeColor="accent5" w:themeShade="BF"/>
          <w:sz w:val="18"/>
          <w:szCs w:val="18"/>
        </w:rPr>
      </w:pPr>
      <w:r w:rsidRPr="00D2797B">
        <w:rPr>
          <w:color w:val="2E74B5" w:themeColor="accent5" w:themeShade="BF"/>
          <w:sz w:val="18"/>
          <w:szCs w:val="18"/>
        </w:rPr>
        <w:t>3&gt;</w:t>
      </w:r>
      <w:r w:rsidRPr="00D2797B">
        <w:rPr>
          <w:color w:val="2E74B5" w:themeColor="accent5" w:themeShade="BF"/>
          <w:sz w:val="18"/>
          <w:szCs w:val="18"/>
        </w:rPr>
        <w:tab/>
        <w:t>if the UE is configured by upper layers with Access Identity 1:</w:t>
      </w:r>
    </w:p>
    <w:p w14:paraId="0D3710A2" w14:textId="77777777" w:rsidR="00D2797B" w:rsidRPr="00D2797B" w:rsidRDefault="00D2797B" w:rsidP="00D2797B">
      <w:pPr>
        <w:pStyle w:val="B4"/>
        <w:spacing w:after="0"/>
        <w:rPr>
          <w:color w:val="2E74B5" w:themeColor="accent5" w:themeShade="BF"/>
          <w:sz w:val="18"/>
          <w:szCs w:val="18"/>
        </w:rPr>
      </w:pPr>
      <w:r w:rsidRPr="00D2797B">
        <w:rPr>
          <w:color w:val="2E74B5" w:themeColor="accent5" w:themeShade="BF"/>
          <w:sz w:val="18"/>
          <w:szCs w:val="18"/>
        </w:rPr>
        <w:t>4&gt;</w:t>
      </w:r>
      <w:r w:rsidRPr="00D2797B">
        <w:rPr>
          <w:color w:val="2E74B5" w:themeColor="accent5" w:themeShade="BF"/>
          <w:sz w:val="18"/>
          <w:szCs w:val="18"/>
        </w:rPr>
        <w:tab/>
      </w:r>
      <w:r w:rsidRPr="00D2797B">
        <w:rPr>
          <w:i/>
          <w:color w:val="2E74B5" w:themeColor="accent5" w:themeShade="BF"/>
          <w:sz w:val="18"/>
          <w:szCs w:val="18"/>
        </w:rPr>
        <w:t>resumeCause</w:t>
      </w:r>
      <w:r w:rsidRPr="00D2797B">
        <w:rPr>
          <w:color w:val="2E74B5" w:themeColor="accent5" w:themeShade="BF"/>
          <w:sz w:val="18"/>
          <w:szCs w:val="18"/>
        </w:rPr>
        <w:t xml:space="preserve"> is set to </w:t>
      </w:r>
      <w:r w:rsidRPr="00D2797B">
        <w:rPr>
          <w:i/>
          <w:color w:val="2E74B5" w:themeColor="accent5" w:themeShade="BF"/>
          <w:sz w:val="18"/>
          <w:szCs w:val="18"/>
        </w:rPr>
        <w:t>mps-PriorityAccess</w:t>
      </w:r>
      <w:r w:rsidRPr="00D2797B">
        <w:rPr>
          <w:color w:val="2E74B5" w:themeColor="accent5" w:themeShade="BF"/>
          <w:sz w:val="18"/>
          <w:szCs w:val="18"/>
        </w:rPr>
        <w:t>;</w:t>
      </w:r>
    </w:p>
    <w:p w14:paraId="1485C563" w14:textId="77777777" w:rsidR="00D2797B" w:rsidRPr="00D2797B" w:rsidRDefault="00D2797B" w:rsidP="00D2797B">
      <w:pPr>
        <w:pStyle w:val="B3"/>
        <w:spacing w:after="0"/>
        <w:rPr>
          <w:color w:val="2E74B5" w:themeColor="accent5" w:themeShade="BF"/>
          <w:sz w:val="18"/>
          <w:szCs w:val="18"/>
        </w:rPr>
      </w:pPr>
      <w:r w:rsidRPr="00D2797B">
        <w:rPr>
          <w:color w:val="2E74B5" w:themeColor="accent5" w:themeShade="BF"/>
          <w:sz w:val="18"/>
          <w:szCs w:val="18"/>
        </w:rPr>
        <w:t>3&gt;</w:t>
      </w:r>
      <w:r w:rsidRPr="00D2797B">
        <w:rPr>
          <w:color w:val="2E74B5" w:themeColor="accent5" w:themeShade="BF"/>
          <w:sz w:val="18"/>
          <w:szCs w:val="18"/>
        </w:rPr>
        <w:tab/>
        <w:t>else if the UE is configured by upper layers with Access Identity 2:</w:t>
      </w:r>
    </w:p>
    <w:p w14:paraId="6AF212B8" w14:textId="77777777" w:rsidR="00D2797B" w:rsidRPr="00D2797B" w:rsidRDefault="00D2797B" w:rsidP="00D2797B">
      <w:pPr>
        <w:pStyle w:val="B4"/>
        <w:spacing w:after="0"/>
        <w:rPr>
          <w:color w:val="2E74B5" w:themeColor="accent5" w:themeShade="BF"/>
          <w:sz w:val="18"/>
          <w:szCs w:val="18"/>
        </w:rPr>
      </w:pPr>
      <w:r w:rsidRPr="00D2797B">
        <w:rPr>
          <w:color w:val="2E74B5" w:themeColor="accent5" w:themeShade="BF"/>
          <w:sz w:val="18"/>
          <w:szCs w:val="18"/>
        </w:rPr>
        <w:t>4&gt;</w:t>
      </w:r>
      <w:r w:rsidRPr="00D2797B">
        <w:rPr>
          <w:color w:val="2E74B5" w:themeColor="accent5" w:themeShade="BF"/>
          <w:sz w:val="18"/>
          <w:szCs w:val="18"/>
        </w:rPr>
        <w:tab/>
      </w:r>
      <w:r w:rsidRPr="00D2797B">
        <w:rPr>
          <w:i/>
          <w:color w:val="2E74B5" w:themeColor="accent5" w:themeShade="BF"/>
          <w:sz w:val="18"/>
          <w:szCs w:val="18"/>
        </w:rPr>
        <w:t>resumeCause</w:t>
      </w:r>
      <w:r w:rsidRPr="00D2797B">
        <w:rPr>
          <w:color w:val="2E74B5" w:themeColor="accent5" w:themeShade="BF"/>
          <w:sz w:val="18"/>
          <w:szCs w:val="18"/>
        </w:rPr>
        <w:t xml:space="preserve"> is set to </w:t>
      </w:r>
      <w:r w:rsidRPr="00D2797B">
        <w:rPr>
          <w:i/>
          <w:color w:val="2E74B5" w:themeColor="accent5" w:themeShade="BF"/>
          <w:sz w:val="18"/>
          <w:szCs w:val="18"/>
        </w:rPr>
        <w:t>mcs-PriorityAccess</w:t>
      </w:r>
      <w:r w:rsidRPr="00D2797B">
        <w:rPr>
          <w:color w:val="2E74B5" w:themeColor="accent5" w:themeShade="BF"/>
          <w:sz w:val="18"/>
          <w:szCs w:val="18"/>
        </w:rPr>
        <w:t>;</w:t>
      </w:r>
    </w:p>
    <w:p w14:paraId="63C5200B" w14:textId="77777777" w:rsidR="00D2797B" w:rsidRPr="00D2797B" w:rsidRDefault="00D2797B" w:rsidP="00D2797B">
      <w:pPr>
        <w:pStyle w:val="B3"/>
        <w:spacing w:after="0"/>
        <w:rPr>
          <w:color w:val="2E74B5" w:themeColor="accent5" w:themeShade="BF"/>
          <w:sz w:val="18"/>
          <w:szCs w:val="18"/>
        </w:rPr>
      </w:pPr>
      <w:r w:rsidRPr="00D2797B">
        <w:rPr>
          <w:color w:val="2E74B5" w:themeColor="accent5" w:themeShade="BF"/>
          <w:sz w:val="18"/>
          <w:szCs w:val="18"/>
        </w:rPr>
        <w:t>3&gt;</w:t>
      </w:r>
      <w:r w:rsidRPr="00D2797B">
        <w:rPr>
          <w:color w:val="2E74B5" w:themeColor="accent5" w:themeShade="BF"/>
          <w:sz w:val="18"/>
          <w:szCs w:val="18"/>
        </w:rPr>
        <w:tab/>
        <w:t>else if the UE is configured by upper layers with one or more Access Identities equal to 11-15:</w:t>
      </w:r>
    </w:p>
    <w:p w14:paraId="1C6B21F0" w14:textId="77777777" w:rsidR="00D2797B" w:rsidRPr="00D2797B" w:rsidRDefault="00D2797B" w:rsidP="00D2797B">
      <w:pPr>
        <w:pStyle w:val="B4"/>
        <w:spacing w:after="0"/>
        <w:rPr>
          <w:color w:val="2E74B5" w:themeColor="accent5" w:themeShade="BF"/>
          <w:sz w:val="18"/>
          <w:szCs w:val="18"/>
        </w:rPr>
      </w:pPr>
      <w:r w:rsidRPr="00D2797B">
        <w:rPr>
          <w:color w:val="2E74B5" w:themeColor="accent5" w:themeShade="BF"/>
          <w:sz w:val="18"/>
          <w:szCs w:val="18"/>
        </w:rPr>
        <w:t>4&gt;</w:t>
      </w:r>
      <w:r w:rsidRPr="00D2797B">
        <w:rPr>
          <w:color w:val="2E74B5" w:themeColor="accent5" w:themeShade="BF"/>
          <w:sz w:val="18"/>
          <w:szCs w:val="18"/>
        </w:rPr>
        <w:tab/>
      </w:r>
      <w:r w:rsidRPr="00D2797B">
        <w:rPr>
          <w:i/>
          <w:color w:val="2E74B5" w:themeColor="accent5" w:themeShade="BF"/>
          <w:sz w:val="18"/>
          <w:szCs w:val="18"/>
        </w:rPr>
        <w:t>resumeCause</w:t>
      </w:r>
      <w:r w:rsidRPr="00D2797B">
        <w:rPr>
          <w:color w:val="2E74B5" w:themeColor="accent5" w:themeShade="BF"/>
          <w:sz w:val="18"/>
          <w:szCs w:val="18"/>
        </w:rPr>
        <w:t xml:space="preserve"> is set to </w:t>
      </w:r>
      <w:r w:rsidRPr="00D2797B">
        <w:rPr>
          <w:i/>
          <w:color w:val="2E74B5" w:themeColor="accent5" w:themeShade="BF"/>
          <w:sz w:val="18"/>
          <w:szCs w:val="18"/>
        </w:rPr>
        <w:t>highPriorityAccess</w:t>
      </w:r>
      <w:r w:rsidRPr="00D2797B">
        <w:rPr>
          <w:color w:val="2E74B5" w:themeColor="accent5" w:themeShade="BF"/>
          <w:sz w:val="18"/>
          <w:szCs w:val="18"/>
        </w:rPr>
        <w:t>;</w:t>
      </w:r>
    </w:p>
    <w:p w14:paraId="5501A2CB" w14:textId="77777777" w:rsidR="00D2797B" w:rsidRPr="00D2797B" w:rsidRDefault="00D2797B" w:rsidP="00D2797B">
      <w:pPr>
        <w:pStyle w:val="B3"/>
        <w:spacing w:after="0"/>
        <w:rPr>
          <w:color w:val="2E74B5" w:themeColor="accent5" w:themeShade="BF"/>
          <w:sz w:val="18"/>
          <w:szCs w:val="18"/>
        </w:rPr>
      </w:pPr>
      <w:r w:rsidRPr="00D2797B">
        <w:rPr>
          <w:color w:val="2E74B5" w:themeColor="accent5" w:themeShade="BF"/>
          <w:sz w:val="18"/>
          <w:szCs w:val="18"/>
        </w:rPr>
        <w:t>3&gt;</w:t>
      </w:r>
      <w:r w:rsidRPr="00D2797B">
        <w:rPr>
          <w:color w:val="2E74B5" w:themeColor="accent5" w:themeShade="BF"/>
          <w:sz w:val="18"/>
          <w:szCs w:val="18"/>
        </w:rPr>
        <w:tab/>
        <w:t>else:</w:t>
      </w:r>
    </w:p>
    <w:p w14:paraId="3ACF1ED6" w14:textId="77777777" w:rsidR="00D2797B" w:rsidRPr="00D2797B" w:rsidRDefault="00D2797B" w:rsidP="00D2797B">
      <w:pPr>
        <w:pStyle w:val="B4"/>
        <w:spacing w:after="0"/>
        <w:rPr>
          <w:color w:val="2E74B5" w:themeColor="accent5" w:themeShade="BF"/>
          <w:sz w:val="18"/>
          <w:szCs w:val="18"/>
        </w:rPr>
      </w:pPr>
      <w:r w:rsidRPr="00D2797B">
        <w:rPr>
          <w:color w:val="2E74B5" w:themeColor="accent5" w:themeShade="BF"/>
          <w:sz w:val="18"/>
          <w:szCs w:val="18"/>
        </w:rPr>
        <w:t>4&gt;</w:t>
      </w:r>
      <w:r w:rsidRPr="00D2797B">
        <w:rPr>
          <w:color w:val="2E74B5" w:themeColor="accent5" w:themeShade="BF"/>
          <w:sz w:val="18"/>
          <w:szCs w:val="18"/>
        </w:rPr>
        <w:tab/>
      </w:r>
      <w:r w:rsidRPr="00D2797B">
        <w:rPr>
          <w:i/>
          <w:color w:val="2E74B5" w:themeColor="accent5" w:themeShade="BF"/>
          <w:sz w:val="18"/>
          <w:szCs w:val="18"/>
        </w:rPr>
        <w:t>resumeCause</w:t>
      </w:r>
      <w:r w:rsidRPr="00D2797B">
        <w:rPr>
          <w:color w:val="2E74B5" w:themeColor="accent5" w:themeShade="BF"/>
          <w:sz w:val="18"/>
          <w:szCs w:val="18"/>
        </w:rPr>
        <w:t xml:space="preserve"> is set to </w:t>
      </w:r>
      <w:r w:rsidRPr="00D2797B">
        <w:rPr>
          <w:i/>
          <w:color w:val="2E74B5" w:themeColor="accent5" w:themeShade="BF"/>
          <w:sz w:val="18"/>
          <w:szCs w:val="18"/>
        </w:rPr>
        <w:t>mt-Access</w:t>
      </w:r>
      <w:r w:rsidRPr="00D2797B">
        <w:rPr>
          <w:color w:val="2E74B5" w:themeColor="accent5" w:themeShade="BF"/>
          <w:sz w:val="18"/>
          <w:szCs w:val="18"/>
        </w:rPr>
        <w:t>.</w:t>
      </w:r>
    </w:p>
    <w:p w14:paraId="7664AA1E" w14:textId="30D11742" w:rsidR="00671F82" w:rsidRPr="00E03170" w:rsidRDefault="00D2797B" w:rsidP="00E03170">
      <w:pPr>
        <w:pStyle w:val="B3"/>
        <w:spacing w:after="200"/>
        <w:rPr>
          <w:rFonts w:eastAsia="MS Mincho"/>
          <w:color w:val="2E74B5" w:themeColor="accent5" w:themeShade="BF"/>
          <w:sz w:val="18"/>
          <w:szCs w:val="18"/>
        </w:rPr>
      </w:pPr>
      <w:r>
        <w:rPr>
          <w:rFonts w:eastAsia="MS Mincho"/>
          <w:color w:val="2E74B5" w:themeColor="accent5" w:themeShade="BF"/>
          <w:sz w:val="18"/>
          <w:szCs w:val="18"/>
        </w:rPr>
        <w:t>…</w:t>
      </w:r>
    </w:p>
    <w:p w14:paraId="08AB45E2" w14:textId="3ECC2B2F" w:rsidR="00396828" w:rsidRDefault="00396828" w:rsidP="00D2797B">
      <w:pPr>
        <w:rPr>
          <w:lang w:val="en-GB" w:eastAsia="zh-CN"/>
        </w:rPr>
      </w:pPr>
      <w:r>
        <w:rPr>
          <w:lang w:val="en-GB" w:eastAsia="zh-CN"/>
        </w:rPr>
        <w:t xml:space="preserve">In section 5.6.2 in 24.501 it is specified: </w:t>
      </w:r>
    </w:p>
    <w:p w14:paraId="39A2D692" w14:textId="77777777" w:rsidR="00396828" w:rsidRPr="00396828" w:rsidRDefault="00396828" w:rsidP="00396828">
      <w:pPr>
        <w:rPr>
          <w:rFonts w:ascii="Times New Roman" w:hAnsi="Times New Roman"/>
          <w:color w:val="2F5496" w:themeColor="accent1" w:themeShade="BF"/>
          <w:sz w:val="18"/>
          <w:szCs w:val="18"/>
        </w:rPr>
      </w:pPr>
      <w:r w:rsidRPr="00396828">
        <w:rPr>
          <w:rFonts w:ascii="Times New Roman" w:hAnsi="Times New Roman"/>
          <w:color w:val="2F5496" w:themeColor="accent1" w:themeShade="BF"/>
          <w:sz w:val="18"/>
          <w:szCs w:val="18"/>
        </w:rPr>
        <w:t>If TMGI is used as paging identity and the TMGI matches with MBS multicast session which the has UE joined, the UE shall respond to the paging. Otherwise, the UE shall not respond to the paging.</w:t>
      </w:r>
    </w:p>
    <w:p w14:paraId="0981CE72" w14:textId="2DAFE0D1" w:rsidR="00ED2BCD" w:rsidRPr="00917EF9" w:rsidRDefault="00917EF9" w:rsidP="00D2797B">
      <w:pPr>
        <w:rPr>
          <w:lang w:val="en-GB" w:eastAsia="zh-CN"/>
        </w:rPr>
      </w:pPr>
      <w:r>
        <w:rPr>
          <w:lang w:val="en-GB" w:eastAsia="zh-CN"/>
        </w:rPr>
        <w:t xml:space="preserve">When the UE receives CM-IDLE Paging the UE informs the upper layers, and NAS triggers a service request. When the UE </w:t>
      </w:r>
      <w:r w:rsidR="001C7DF4">
        <w:rPr>
          <w:lang w:val="en-GB" w:eastAsia="zh-CN"/>
        </w:rPr>
        <w:t xml:space="preserve">receives RAN Paging the UE triggers the RRC connection resume procedure and NAS is not involved. </w:t>
      </w:r>
    </w:p>
    <w:p w14:paraId="200DBA7D" w14:textId="25CECC56" w:rsidR="003D4F3F" w:rsidRPr="00B777E5" w:rsidRDefault="00B777E5" w:rsidP="00D2797B">
      <w:pPr>
        <w:rPr>
          <w:b/>
          <w:bCs/>
          <w:lang w:val="en-GB" w:eastAsia="zh-CN"/>
        </w:rPr>
      </w:pPr>
      <w:r>
        <w:rPr>
          <w:b/>
          <w:bCs/>
          <w:lang w:val="en-GB" w:eastAsia="zh-CN"/>
        </w:rPr>
        <w:t>TMGI structure</w:t>
      </w:r>
    </w:p>
    <w:p w14:paraId="22B491FF" w14:textId="000B2F32" w:rsidR="003F1E51" w:rsidRDefault="00B777E5" w:rsidP="004D10CC">
      <w:r>
        <w:rPr>
          <w:lang w:val="en-GB" w:eastAsia="zh-CN"/>
        </w:rPr>
        <w:lastRenderedPageBreak/>
        <w:t>The TMGI in NR consists of PLMN</w:t>
      </w:r>
      <w:r w:rsidR="00C07BF6">
        <w:rPr>
          <w:lang w:val="en-GB" w:eastAsia="zh-CN"/>
        </w:rPr>
        <w:t xml:space="preserve"> (MCC and MNC)</w:t>
      </w:r>
      <w:r>
        <w:rPr>
          <w:lang w:val="en-GB" w:eastAsia="zh-CN"/>
        </w:rPr>
        <w:t xml:space="preserve"> and </w:t>
      </w:r>
      <w:r w:rsidRPr="005C16D8">
        <w:rPr>
          <w:i/>
          <w:iCs/>
          <w:lang w:val="en-GB" w:eastAsia="zh-CN"/>
        </w:rPr>
        <w:t>serviceID</w:t>
      </w:r>
      <w:r w:rsidR="00C07BF6">
        <w:rPr>
          <w:lang w:val="en-GB" w:eastAsia="zh-CN"/>
        </w:rPr>
        <w:t xml:space="preserve"> (3 octets), see</w:t>
      </w:r>
      <w:r w:rsidR="005C16D8">
        <w:rPr>
          <w:lang w:val="en-GB" w:eastAsia="zh-CN"/>
        </w:rPr>
        <w:t xml:space="preserve"> 24.008</w:t>
      </w:r>
      <w:r w:rsidR="00C07BF6">
        <w:rPr>
          <w:lang w:val="en-GB" w:eastAsia="zh-CN"/>
        </w:rPr>
        <w:t xml:space="preserve"> section </w:t>
      </w:r>
      <w:r w:rsidR="00C07BF6" w:rsidRPr="00D95AF2">
        <w:t>10.5.6.13</w:t>
      </w:r>
      <w:r w:rsidR="00CA6EA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A6EA1" w:rsidRPr="00CA6EA1" w14:paraId="5C30D584" w14:textId="77777777" w:rsidTr="001854BE">
        <w:trPr>
          <w:cantSplit/>
          <w:jc w:val="center"/>
        </w:trPr>
        <w:tc>
          <w:tcPr>
            <w:tcW w:w="709" w:type="dxa"/>
            <w:tcBorders>
              <w:top w:val="nil"/>
              <w:left w:val="nil"/>
              <w:bottom w:val="single" w:sz="4" w:space="0" w:color="auto"/>
              <w:right w:val="nil"/>
            </w:tcBorders>
          </w:tcPr>
          <w:p w14:paraId="4BE46D32" w14:textId="77777777" w:rsidR="00CA6EA1" w:rsidRPr="00CA6EA1" w:rsidRDefault="00CA6EA1" w:rsidP="001854BE">
            <w:pPr>
              <w:pStyle w:val="TAC"/>
              <w:rPr>
                <w:rFonts w:ascii="Times New Roman" w:hAnsi="Times New Roman"/>
                <w:sz w:val="16"/>
                <w:szCs w:val="16"/>
              </w:rPr>
            </w:pPr>
            <w:r w:rsidRPr="00CA6EA1">
              <w:rPr>
                <w:rFonts w:ascii="Times New Roman" w:hAnsi="Times New Roman"/>
                <w:sz w:val="16"/>
                <w:szCs w:val="16"/>
              </w:rPr>
              <w:t>8</w:t>
            </w:r>
          </w:p>
        </w:tc>
        <w:tc>
          <w:tcPr>
            <w:tcW w:w="709" w:type="dxa"/>
            <w:tcBorders>
              <w:top w:val="nil"/>
              <w:left w:val="nil"/>
              <w:bottom w:val="single" w:sz="4" w:space="0" w:color="auto"/>
              <w:right w:val="nil"/>
            </w:tcBorders>
          </w:tcPr>
          <w:p w14:paraId="153DF5A7" w14:textId="77777777" w:rsidR="00CA6EA1" w:rsidRPr="00CA6EA1" w:rsidRDefault="00CA6EA1" w:rsidP="001854BE">
            <w:pPr>
              <w:pStyle w:val="TAC"/>
              <w:rPr>
                <w:rFonts w:ascii="Times New Roman" w:hAnsi="Times New Roman"/>
                <w:sz w:val="16"/>
                <w:szCs w:val="16"/>
              </w:rPr>
            </w:pPr>
            <w:r w:rsidRPr="00CA6EA1">
              <w:rPr>
                <w:rFonts w:ascii="Times New Roman" w:hAnsi="Times New Roman"/>
                <w:sz w:val="16"/>
                <w:szCs w:val="16"/>
              </w:rPr>
              <w:t>7</w:t>
            </w:r>
          </w:p>
        </w:tc>
        <w:tc>
          <w:tcPr>
            <w:tcW w:w="709" w:type="dxa"/>
            <w:tcBorders>
              <w:top w:val="nil"/>
              <w:left w:val="nil"/>
              <w:bottom w:val="single" w:sz="4" w:space="0" w:color="auto"/>
              <w:right w:val="nil"/>
            </w:tcBorders>
          </w:tcPr>
          <w:p w14:paraId="0505BD05" w14:textId="77777777" w:rsidR="00CA6EA1" w:rsidRPr="00CA6EA1" w:rsidRDefault="00CA6EA1" w:rsidP="001854BE">
            <w:pPr>
              <w:pStyle w:val="TAC"/>
              <w:rPr>
                <w:rFonts w:ascii="Times New Roman" w:hAnsi="Times New Roman"/>
                <w:sz w:val="16"/>
                <w:szCs w:val="16"/>
              </w:rPr>
            </w:pPr>
            <w:r w:rsidRPr="00CA6EA1">
              <w:rPr>
                <w:rFonts w:ascii="Times New Roman" w:hAnsi="Times New Roman"/>
                <w:sz w:val="16"/>
                <w:szCs w:val="16"/>
              </w:rPr>
              <w:t>6</w:t>
            </w:r>
          </w:p>
        </w:tc>
        <w:tc>
          <w:tcPr>
            <w:tcW w:w="709" w:type="dxa"/>
            <w:tcBorders>
              <w:top w:val="nil"/>
              <w:left w:val="nil"/>
              <w:bottom w:val="single" w:sz="4" w:space="0" w:color="auto"/>
              <w:right w:val="nil"/>
            </w:tcBorders>
          </w:tcPr>
          <w:p w14:paraId="483128E1" w14:textId="77777777" w:rsidR="00CA6EA1" w:rsidRPr="00CA6EA1" w:rsidRDefault="00CA6EA1" w:rsidP="001854BE">
            <w:pPr>
              <w:pStyle w:val="TAC"/>
              <w:rPr>
                <w:rFonts w:ascii="Times New Roman" w:hAnsi="Times New Roman"/>
                <w:sz w:val="16"/>
                <w:szCs w:val="16"/>
              </w:rPr>
            </w:pPr>
            <w:r w:rsidRPr="00CA6EA1">
              <w:rPr>
                <w:rFonts w:ascii="Times New Roman" w:hAnsi="Times New Roman"/>
                <w:sz w:val="16"/>
                <w:szCs w:val="16"/>
              </w:rPr>
              <w:t>5</w:t>
            </w:r>
          </w:p>
        </w:tc>
        <w:tc>
          <w:tcPr>
            <w:tcW w:w="709" w:type="dxa"/>
            <w:tcBorders>
              <w:top w:val="nil"/>
              <w:left w:val="nil"/>
              <w:bottom w:val="single" w:sz="4" w:space="0" w:color="auto"/>
              <w:right w:val="nil"/>
            </w:tcBorders>
          </w:tcPr>
          <w:p w14:paraId="20FA2532" w14:textId="77777777" w:rsidR="00CA6EA1" w:rsidRPr="00CA6EA1" w:rsidRDefault="00CA6EA1" w:rsidP="001854BE">
            <w:pPr>
              <w:pStyle w:val="TAC"/>
              <w:rPr>
                <w:rFonts w:ascii="Times New Roman" w:hAnsi="Times New Roman"/>
                <w:sz w:val="16"/>
                <w:szCs w:val="16"/>
              </w:rPr>
            </w:pPr>
            <w:r w:rsidRPr="00CA6EA1">
              <w:rPr>
                <w:rFonts w:ascii="Times New Roman" w:hAnsi="Times New Roman"/>
                <w:sz w:val="16"/>
                <w:szCs w:val="16"/>
              </w:rPr>
              <w:t>4</w:t>
            </w:r>
          </w:p>
        </w:tc>
        <w:tc>
          <w:tcPr>
            <w:tcW w:w="709" w:type="dxa"/>
            <w:tcBorders>
              <w:top w:val="nil"/>
              <w:left w:val="nil"/>
              <w:bottom w:val="single" w:sz="4" w:space="0" w:color="auto"/>
              <w:right w:val="nil"/>
            </w:tcBorders>
          </w:tcPr>
          <w:p w14:paraId="3771A065" w14:textId="77777777" w:rsidR="00CA6EA1" w:rsidRPr="00CA6EA1" w:rsidRDefault="00CA6EA1" w:rsidP="001854BE">
            <w:pPr>
              <w:pStyle w:val="TAC"/>
              <w:rPr>
                <w:rFonts w:ascii="Times New Roman" w:hAnsi="Times New Roman"/>
                <w:sz w:val="16"/>
                <w:szCs w:val="16"/>
              </w:rPr>
            </w:pPr>
            <w:r w:rsidRPr="00CA6EA1">
              <w:rPr>
                <w:rFonts w:ascii="Times New Roman" w:hAnsi="Times New Roman"/>
                <w:sz w:val="16"/>
                <w:szCs w:val="16"/>
              </w:rPr>
              <w:t>3</w:t>
            </w:r>
          </w:p>
        </w:tc>
        <w:tc>
          <w:tcPr>
            <w:tcW w:w="709" w:type="dxa"/>
            <w:tcBorders>
              <w:top w:val="nil"/>
              <w:left w:val="nil"/>
              <w:bottom w:val="single" w:sz="4" w:space="0" w:color="auto"/>
              <w:right w:val="nil"/>
            </w:tcBorders>
          </w:tcPr>
          <w:p w14:paraId="1D230322" w14:textId="77777777" w:rsidR="00CA6EA1" w:rsidRPr="00CA6EA1" w:rsidRDefault="00CA6EA1" w:rsidP="001854BE">
            <w:pPr>
              <w:pStyle w:val="TAC"/>
              <w:rPr>
                <w:rFonts w:ascii="Times New Roman" w:hAnsi="Times New Roman"/>
                <w:sz w:val="16"/>
                <w:szCs w:val="16"/>
              </w:rPr>
            </w:pPr>
            <w:r w:rsidRPr="00CA6EA1">
              <w:rPr>
                <w:rFonts w:ascii="Times New Roman" w:hAnsi="Times New Roman"/>
                <w:sz w:val="16"/>
                <w:szCs w:val="16"/>
              </w:rPr>
              <w:t>2</w:t>
            </w:r>
          </w:p>
        </w:tc>
        <w:tc>
          <w:tcPr>
            <w:tcW w:w="709" w:type="dxa"/>
            <w:tcBorders>
              <w:top w:val="nil"/>
              <w:left w:val="nil"/>
              <w:bottom w:val="single" w:sz="4" w:space="0" w:color="auto"/>
              <w:right w:val="nil"/>
            </w:tcBorders>
          </w:tcPr>
          <w:p w14:paraId="633BEAEB" w14:textId="77777777" w:rsidR="00CA6EA1" w:rsidRPr="00CA6EA1" w:rsidRDefault="00CA6EA1" w:rsidP="001854BE">
            <w:pPr>
              <w:pStyle w:val="TAC"/>
              <w:rPr>
                <w:rFonts w:ascii="Times New Roman" w:hAnsi="Times New Roman"/>
                <w:sz w:val="16"/>
                <w:szCs w:val="16"/>
              </w:rPr>
            </w:pPr>
            <w:r w:rsidRPr="00CA6EA1">
              <w:rPr>
                <w:rFonts w:ascii="Times New Roman" w:hAnsi="Times New Roman"/>
                <w:sz w:val="16"/>
                <w:szCs w:val="16"/>
              </w:rPr>
              <w:t>1</w:t>
            </w:r>
          </w:p>
        </w:tc>
        <w:tc>
          <w:tcPr>
            <w:tcW w:w="1134" w:type="dxa"/>
            <w:tcBorders>
              <w:top w:val="nil"/>
              <w:left w:val="nil"/>
              <w:bottom w:val="nil"/>
              <w:right w:val="nil"/>
            </w:tcBorders>
          </w:tcPr>
          <w:p w14:paraId="0CB022B9" w14:textId="77777777" w:rsidR="00CA6EA1" w:rsidRPr="00CA6EA1" w:rsidRDefault="00CA6EA1" w:rsidP="001854BE">
            <w:pPr>
              <w:pStyle w:val="TAL"/>
              <w:rPr>
                <w:rFonts w:ascii="Times New Roman" w:hAnsi="Times New Roman"/>
                <w:sz w:val="16"/>
                <w:szCs w:val="16"/>
              </w:rPr>
            </w:pPr>
          </w:p>
        </w:tc>
      </w:tr>
      <w:tr w:rsidR="00CA6EA1" w:rsidRPr="00CA6EA1" w14:paraId="419CDD2B" w14:textId="77777777" w:rsidTr="001854B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87C1FA3" w14:textId="77777777" w:rsidR="00CA6EA1" w:rsidRPr="00CA6EA1" w:rsidRDefault="00CA6EA1" w:rsidP="001854BE">
            <w:pPr>
              <w:pStyle w:val="TAC"/>
              <w:rPr>
                <w:rFonts w:ascii="Times New Roman" w:hAnsi="Times New Roman"/>
                <w:sz w:val="16"/>
                <w:szCs w:val="16"/>
              </w:rPr>
            </w:pPr>
            <w:r w:rsidRPr="00CA6EA1">
              <w:rPr>
                <w:rFonts w:ascii="Times New Roman" w:hAnsi="Times New Roman"/>
                <w:sz w:val="16"/>
                <w:szCs w:val="16"/>
              </w:rPr>
              <w:t>Temporary Mobile Group Identity IEI</w:t>
            </w:r>
          </w:p>
        </w:tc>
        <w:tc>
          <w:tcPr>
            <w:tcW w:w="1134" w:type="dxa"/>
            <w:tcBorders>
              <w:top w:val="nil"/>
              <w:left w:val="single" w:sz="4" w:space="0" w:color="auto"/>
              <w:bottom w:val="nil"/>
              <w:right w:val="nil"/>
            </w:tcBorders>
          </w:tcPr>
          <w:p w14:paraId="2CD6A5A1" w14:textId="77777777" w:rsidR="00CA6EA1" w:rsidRPr="00CA6EA1" w:rsidRDefault="00CA6EA1" w:rsidP="001854BE">
            <w:pPr>
              <w:pStyle w:val="TAL"/>
              <w:rPr>
                <w:rFonts w:ascii="Times New Roman" w:hAnsi="Times New Roman"/>
                <w:sz w:val="16"/>
                <w:szCs w:val="16"/>
              </w:rPr>
            </w:pPr>
            <w:r w:rsidRPr="00CA6EA1">
              <w:rPr>
                <w:rFonts w:ascii="Times New Roman" w:hAnsi="Times New Roman"/>
                <w:sz w:val="16"/>
                <w:szCs w:val="16"/>
              </w:rPr>
              <w:t>Octet 1</w:t>
            </w:r>
          </w:p>
        </w:tc>
      </w:tr>
      <w:tr w:rsidR="00CA6EA1" w:rsidRPr="00CA6EA1" w14:paraId="2CFC3DEB" w14:textId="77777777" w:rsidTr="001854B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9DD7FA1" w14:textId="77777777" w:rsidR="00CA6EA1" w:rsidRPr="00CA6EA1" w:rsidRDefault="00CA6EA1" w:rsidP="001854BE">
            <w:pPr>
              <w:pStyle w:val="TAC"/>
              <w:rPr>
                <w:rFonts w:ascii="Times New Roman" w:hAnsi="Times New Roman"/>
                <w:sz w:val="16"/>
                <w:szCs w:val="16"/>
              </w:rPr>
            </w:pPr>
            <w:r w:rsidRPr="00CA6EA1">
              <w:rPr>
                <w:rFonts w:ascii="Times New Roman" w:hAnsi="Times New Roman"/>
                <w:sz w:val="16"/>
                <w:szCs w:val="16"/>
              </w:rPr>
              <w:t>Length of Temporary Mobile Group Identity contents</w:t>
            </w:r>
          </w:p>
        </w:tc>
        <w:tc>
          <w:tcPr>
            <w:tcW w:w="1134" w:type="dxa"/>
            <w:tcBorders>
              <w:top w:val="nil"/>
              <w:left w:val="single" w:sz="4" w:space="0" w:color="auto"/>
              <w:bottom w:val="nil"/>
              <w:right w:val="nil"/>
            </w:tcBorders>
          </w:tcPr>
          <w:p w14:paraId="0176287F" w14:textId="77777777" w:rsidR="00CA6EA1" w:rsidRPr="00CA6EA1" w:rsidRDefault="00CA6EA1" w:rsidP="001854BE">
            <w:pPr>
              <w:pStyle w:val="TAL"/>
              <w:rPr>
                <w:rFonts w:ascii="Times New Roman" w:hAnsi="Times New Roman"/>
                <w:sz w:val="16"/>
                <w:szCs w:val="16"/>
              </w:rPr>
            </w:pPr>
            <w:r w:rsidRPr="00CA6EA1">
              <w:rPr>
                <w:rFonts w:ascii="Times New Roman" w:hAnsi="Times New Roman"/>
                <w:sz w:val="16"/>
                <w:szCs w:val="16"/>
              </w:rPr>
              <w:t>Octet 2</w:t>
            </w:r>
          </w:p>
        </w:tc>
      </w:tr>
      <w:tr w:rsidR="00CA6EA1" w:rsidRPr="00CA6EA1" w14:paraId="094D4889" w14:textId="77777777" w:rsidTr="001854BE">
        <w:trPr>
          <w:cantSplit/>
          <w:jc w:val="center"/>
        </w:trPr>
        <w:tc>
          <w:tcPr>
            <w:tcW w:w="5672" w:type="dxa"/>
            <w:gridSpan w:val="8"/>
            <w:vMerge w:val="restart"/>
            <w:tcBorders>
              <w:top w:val="single" w:sz="4" w:space="0" w:color="auto"/>
              <w:right w:val="single" w:sz="4" w:space="0" w:color="auto"/>
            </w:tcBorders>
          </w:tcPr>
          <w:p w14:paraId="63E03989" w14:textId="77777777" w:rsidR="00CA6EA1" w:rsidRPr="00CA6EA1" w:rsidRDefault="00CA6EA1" w:rsidP="001854BE">
            <w:pPr>
              <w:pStyle w:val="TAC"/>
              <w:rPr>
                <w:rFonts w:ascii="Times New Roman" w:hAnsi="Times New Roman"/>
                <w:sz w:val="16"/>
                <w:szCs w:val="16"/>
              </w:rPr>
            </w:pPr>
          </w:p>
          <w:p w14:paraId="2C0C27F5" w14:textId="77777777" w:rsidR="00CA6EA1" w:rsidRPr="00CA6EA1" w:rsidRDefault="00CA6EA1" w:rsidP="001854BE">
            <w:pPr>
              <w:pStyle w:val="TAC"/>
              <w:rPr>
                <w:rFonts w:ascii="Times New Roman" w:hAnsi="Times New Roman"/>
                <w:sz w:val="16"/>
                <w:szCs w:val="16"/>
              </w:rPr>
            </w:pPr>
            <w:r w:rsidRPr="00CA6EA1">
              <w:rPr>
                <w:rFonts w:ascii="Times New Roman" w:hAnsi="Times New Roman"/>
                <w:sz w:val="16"/>
                <w:szCs w:val="16"/>
              </w:rPr>
              <w:t>MBMS Service ID</w:t>
            </w:r>
          </w:p>
        </w:tc>
        <w:tc>
          <w:tcPr>
            <w:tcW w:w="1134" w:type="dxa"/>
            <w:tcBorders>
              <w:top w:val="nil"/>
              <w:left w:val="nil"/>
              <w:bottom w:val="nil"/>
              <w:right w:val="nil"/>
            </w:tcBorders>
          </w:tcPr>
          <w:p w14:paraId="6965A271" w14:textId="77777777" w:rsidR="00CA6EA1" w:rsidRPr="00CA6EA1" w:rsidRDefault="00CA6EA1" w:rsidP="001854BE">
            <w:pPr>
              <w:pStyle w:val="TAL"/>
              <w:rPr>
                <w:rFonts w:ascii="Times New Roman" w:hAnsi="Times New Roman"/>
                <w:sz w:val="16"/>
                <w:szCs w:val="16"/>
              </w:rPr>
            </w:pPr>
            <w:r w:rsidRPr="00CA6EA1">
              <w:rPr>
                <w:rFonts w:ascii="Times New Roman" w:hAnsi="Times New Roman"/>
                <w:sz w:val="16"/>
                <w:szCs w:val="16"/>
              </w:rPr>
              <w:t>Octet 3</w:t>
            </w:r>
          </w:p>
          <w:p w14:paraId="7B15AAFB" w14:textId="77777777" w:rsidR="00CA6EA1" w:rsidRPr="00CA6EA1" w:rsidRDefault="00CA6EA1" w:rsidP="001854BE">
            <w:pPr>
              <w:pStyle w:val="TAL"/>
              <w:rPr>
                <w:rFonts w:ascii="Times New Roman" w:hAnsi="Times New Roman"/>
                <w:sz w:val="16"/>
                <w:szCs w:val="16"/>
              </w:rPr>
            </w:pPr>
            <w:r w:rsidRPr="00CA6EA1">
              <w:rPr>
                <w:rFonts w:ascii="Times New Roman" w:hAnsi="Times New Roman"/>
                <w:sz w:val="16"/>
                <w:szCs w:val="16"/>
              </w:rPr>
              <w:t>Octet 4</w:t>
            </w:r>
          </w:p>
        </w:tc>
      </w:tr>
      <w:tr w:rsidR="00CA6EA1" w:rsidRPr="00CA6EA1" w14:paraId="286FB69F" w14:textId="77777777" w:rsidTr="001854BE">
        <w:trPr>
          <w:cantSplit/>
          <w:jc w:val="center"/>
        </w:trPr>
        <w:tc>
          <w:tcPr>
            <w:tcW w:w="5672" w:type="dxa"/>
            <w:gridSpan w:val="8"/>
            <w:vMerge/>
            <w:tcBorders>
              <w:bottom w:val="single" w:sz="4" w:space="0" w:color="auto"/>
              <w:right w:val="single" w:sz="4" w:space="0" w:color="auto"/>
            </w:tcBorders>
          </w:tcPr>
          <w:p w14:paraId="74E4723A" w14:textId="77777777" w:rsidR="00CA6EA1" w:rsidRPr="00CA6EA1" w:rsidRDefault="00CA6EA1" w:rsidP="001854BE">
            <w:pPr>
              <w:pStyle w:val="TAC"/>
              <w:rPr>
                <w:rFonts w:ascii="Times New Roman" w:hAnsi="Times New Roman"/>
                <w:sz w:val="16"/>
                <w:szCs w:val="16"/>
              </w:rPr>
            </w:pPr>
          </w:p>
        </w:tc>
        <w:tc>
          <w:tcPr>
            <w:tcW w:w="1134" w:type="dxa"/>
            <w:tcBorders>
              <w:top w:val="nil"/>
              <w:left w:val="nil"/>
              <w:bottom w:val="nil"/>
              <w:right w:val="nil"/>
            </w:tcBorders>
          </w:tcPr>
          <w:p w14:paraId="7AFF1FB1" w14:textId="77777777" w:rsidR="00CA6EA1" w:rsidRPr="00CA6EA1" w:rsidRDefault="00CA6EA1" w:rsidP="001854BE">
            <w:pPr>
              <w:pStyle w:val="TAL"/>
              <w:rPr>
                <w:rFonts w:ascii="Times New Roman" w:hAnsi="Times New Roman"/>
                <w:sz w:val="16"/>
                <w:szCs w:val="16"/>
              </w:rPr>
            </w:pPr>
            <w:r w:rsidRPr="00CA6EA1">
              <w:rPr>
                <w:rFonts w:ascii="Times New Roman" w:hAnsi="Times New Roman"/>
                <w:sz w:val="16"/>
                <w:szCs w:val="16"/>
              </w:rPr>
              <w:t>Octet 5</w:t>
            </w:r>
          </w:p>
        </w:tc>
      </w:tr>
      <w:tr w:rsidR="00CA6EA1" w:rsidRPr="00CA6EA1" w14:paraId="2343074F" w14:textId="77777777" w:rsidTr="001854BE">
        <w:trPr>
          <w:cantSplit/>
          <w:jc w:val="center"/>
        </w:trPr>
        <w:tc>
          <w:tcPr>
            <w:tcW w:w="2836" w:type="dxa"/>
            <w:gridSpan w:val="4"/>
            <w:tcBorders>
              <w:top w:val="single" w:sz="4" w:space="0" w:color="auto"/>
              <w:right w:val="single" w:sz="4" w:space="0" w:color="auto"/>
            </w:tcBorders>
          </w:tcPr>
          <w:p w14:paraId="60BDCC33" w14:textId="77777777" w:rsidR="00CA6EA1" w:rsidRPr="00CA6EA1" w:rsidRDefault="00CA6EA1" w:rsidP="001854BE">
            <w:pPr>
              <w:pStyle w:val="TAC"/>
              <w:rPr>
                <w:rFonts w:ascii="Times New Roman" w:hAnsi="Times New Roman"/>
                <w:sz w:val="16"/>
                <w:szCs w:val="16"/>
              </w:rPr>
            </w:pPr>
            <w:r w:rsidRPr="00CA6EA1">
              <w:rPr>
                <w:rFonts w:ascii="Times New Roman" w:hAnsi="Times New Roman"/>
                <w:sz w:val="16"/>
                <w:szCs w:val="16"/>
              </w:rPr>
              <w:t xml:space="preserve">MCC digit 2 </w:t>
            </w:r>
          </w:p>
        </w:tc>
        <w:tc>
          <w:tcPr>
            <w:tcW w:w="2836" w:type="dxa"/>
            <w:gridSpan w:val="4"/>
            <w:tcBorders>
              <w:top w:val="single" w:sz="4" w:space="0" w:color="auto"/>
              <w:right w:val="single" w:sz="4" w:space="0" w:color="auto"/>
            </w:tcBorders>
          </w:tcPr>
          <w:p w14:paraId="6C4FA395" w14:textId="77777777" w:rsidR="00CA6EA1" w:rsidRPr="00CA6EA1" w:rsidRDefault="00CA6EA1" w:rsidP="001854BE">
            <w:pPr>
              <w:pStyle w:val="TAC"/>
              <w:rPr>
                <w:rFonts w:ascii="Times New Roman" w:hAnsi="Times New Roman"/>
                <w:sz w:val="16"/>
                <w:szCs w:val="16"/>
              </w:rPr>
            </w:pPr>
            <w:r w:rsidRPr="00CA6EA1">
              <w:rPr>
                <w:rFonts w:ascii="Times New Roman" w:hAnsi="Times New Roman"/>
                <w:sz w:val="16"/>
                <w:szCs w:val="16"/>
              </w:rPr>
              <w:t>MCC digit 1</w:t>
            </w:r>
          </w:p>
        </w:tc>
        <w:tc>
          <w:tcPr>
            <w:tcW w:w="1134" w:type="dxa"/>
            <w:tcBorders>
              <w:top w:val="nil"/>
              <w:left w:val="nil"/>
              <w:bottom w:val="nil"/>
              <w:right w:val="nil"/>
            </w:tcBorders>
          </w:tcPr>
          <w:p w14:paraId="464369EA" w14:textId="77777777" w:rsidR="00CA6EA1" w:rsidRPr="00CA6EA1" w:rsidRDefault="00CA6EA1" w:rsidP="001854BE">
            <w:pPr>
              <w:pStyle w:val="TAC"/>
              <w:jc w:val="left"/>
              <w:rPr>
                <w:rFonts w:ascii="Times New Roman" w:hAnsi="Times New Roman"/>
                <w:sz w:val="16"/>
                <w:szCs w:val="16"/>
              </w:rPr>
            </w:pPr>
            <w:r w:rsidRPr="00CA6EA1">
              <w:rPr>
                <w:rFonts w:ascii="Times New Roman" w:hAnsi="Times New Roman"/>
                <w:sz w:val="16"/>
                <w:szCs w:val="16"/>
              </w:rPr>
              <w:t>Octet 6*</w:t>
            </w:r>
          </w:p>
        </w:tc>
      </w:tr>
      <w:tr w:rsidR="00CA6EA1" w:rsidRPr="00CA6EA1" w14:paraId="3174A5F2" w14:textId="77777777" w:rsidTr="001854BE">
        <w:trPr>
          <w:cantSplit/>
          <w:jc w:val="center"/>
        </w:trPr>
        <w:tc>
          <w:tcPr>
            <w:tcW w:w="2836" w:type="dxa"/>
            <w:gridSpan w:val="4"/>
            <w:tcBorders>
              <w:top w:val="single" w:sz="4" w:space="0" w:color="auto"/>
              <w:right w:val="single" w:sz="4" w:space="0" w:color="auto"/>
            </w:tcBorders>
          </w:tcPr>
          <w:p w14:paraId="5D7C183F" w14:textId="77777777" w:rsidR="00CA6EA1" w:rsidRPr="00CA6EA1" w:rsidRDefault="00CA6EA1" w:rsidP="001854BE">
            <w:pPr>
              <w:pStyle w:val="TAC"/>
              <w:rPr>
                <w:rFonts w:ascii="Times New Roman" w:hAnsi="Times New Roman"/>
                <w:sz w:val="16"/>
                <w:szCs w:val="16"/>
              </w:rPr>
            </w:pPr>
            <w:r w:rsidRPr="00CA6EA1">
              <w:rPr>
                <w:rFonts w:ascii="Times New Roman" w:hAnsi="Times New Roman"/>
                <w:sz w:val="16"/>
                <w:szCs w:val="16"/>
              </w:rPr>
              <w:t>MNC digit 3</w:t>
            </w:r>
          </w:p>
        </w:tc>
        <w:tc>
          <w:tcPr>
            <w:tcW w:w="2836" w:type="dxa"/>
            <w:gridSpan w:val="4"/>
            <w:tcBorders>
              <w:top w:val="single" w:sz="4" w:space="0" w:color="auto"/>
              <w:right w:val="single" w:sz="4" w:space="0" w:color="auto"/>
            </w:tcBorders>
          </w:tcPr>
          <w:p w14:paraId="7CBB0BB7" w14:textId="77777777" w:rsidR="00CA6EA1" w:rsidRPr="00CA6EA1" w:rsidRDefault="00CA6EA1" w:rsidP="001854BE">
            <w:pPr>
              <w:pStyle w:val="TAC"/>
              <w:rPr>
                <w:rFonts w:ascii="Times New Roman" w:hAnsi="Times New Roman"/>
                <w:sz w:val="16"/>
                <w:szCs w:val="16"/>
              </w:rPr>
            </w:pPr>
            <w:r w:rsidRPr="00CA6EA1">
              <w:rPr>
                <w:rFonts w:ascii="Times New Roman" w:hAnsi="Times New Roman"/>
                <w:sz w:val="16"/>
                <w:szCs w:val="16"/>
              </w:rPr>
              <w:t>MCC digit 3</w:t>
            </w:r>
          </w:p>
        </w:tc>
        <w:tc>
          <w:tcPr>
            <w:tcW w:w="1134" w:type="dxa"/>
            <w:tcBorders>
              <w:top w:val="nil"/>
              <w:left w:val="nil"/>
              <w:bottom w:val="nil"/>
              <w:right w:val="nil"/>
            </w:tcBorders>
          </w:tcPr>
          <w:p w14:paraId="2EBD5BB9" w14:textId="77777777" w:rsidR="00CA6EA1" w:rsidRPr="00CA6EA1" w:rsidRDefault="00CA6EA1" w:rsidP="001854BE">
            <w:pPr>
              <w:pStyle w:val="TAC"/>
              <w:jc w:val="left"/>
              <w:rPr>
                <w:rFonts w:ascii="Times New Roman" w:hAnsi="Times New Roman"/>
                <w:sz w:val="16"/>
                <w:szCs w:val="16"/>
              </w:rPr>
            </w:pPr>
            <w:r w:rsidRPr="00CA6EA1">
              <w:rPr>
                <w:rFonts w:ascii="Times New Roman" w:hAnsi="Times New Roman"/>
                <w:sz w:val="16"/>
                <w:szCs w:val="16"/>
              </w:rPr>
              <w:t>Octet 7*</w:t>
            </w:r>
          </w:p>
        </w:tc>
      </w:tr>
      <w:tr w:rsidR="00CA6EA1" w:rsidRPr="00CA6EA1" w14:paraId="2DEB2DAF" w14:textId="77777777" w:rsidTr="001854BE">
        <w:trPr>
          <w:cantSplit/>
          <w:jc w:val="center"/>
        </w:trPr>
        <w:tc>
          <w:tcPr>
            <w:tcW w:w="2836" w:type="dxa"/>
            <w:gridSpan w:val="4"/>
            <w:tcBorders>
              <w:top w:val="single" w:sz="4" w:space="0" w:color="auto"/>
              <w:right w:val="single" w:sz="4" w:space="0" w:color="auto"/>
            </w:tcBorders>
          </w:tcPr>
          <w:p w14:paraId="630EF14E" w14:textId="77777777" w:rsidR="00CA6EA1" w:rsidRPr="00CA6EA1" w:rsidRDefault="00CA6EA1" w:rsidP="001854BE">
            <w:pPr>
              <w:pStyle w:val="TAC"/>
              <w:rPr>
                <w:rFonts w:ascii="Times New Roman" w:hAnsi="Times New Roman"/>
                <w:sz w:val="16"/>
                <w:szCs w:val="16"/>
              </w:rPr>
            </w:pPr>
            <w:r w:rsidRPr="00CA6EA1">
              <w:rPr>
                <w:rFonts w:ascii="Times New Roman" w:hAnsi="Times New Roman"/>
                <w:sz w:val="16"/>
                <w:szCs w:val="16"/>
              </w:rPr>
              <w:t>MNC digit 2</w:t>
            </w:r>
          </w:p>
        </w:tc>
        <w:tc>
          <w:tcPr>
            <w:tcW w:w="2836" w:type="dxa"/>
            <w:gridSpan w:val="4"/>
            <w:tcBorders>
              <w:top w:val="single" w:sz="4" w:space="0" w:color="auto"/>
              <w:right w:val="single" w:sz="4" w:space="0" w:color="auto"/>
            </w:tcBorders>
          </w:tcPr>
          <w:p w14:paraId="4F4C269C" w14:textId="77777777" w:rsidR="00CA6EA1" w:rsidRPr="00CA6EA1" w:rsidRDefault="00CA6EA1" w:rsidP="001854BE">
            <w:pPr>
              <w:pStyle w:val="TAC"/>
              <w:rPr>
                <w:rFonts w:ascii="Times New Roman" w:hAnsi="Times New Roman"/>
                <w:sz w:val="16"/>
                <w:szCs w:val="16"/>
              </w:rPr>
            </w:pPr>
            <w:r w:rsidRPr="00CA6EA1">
              <w:rPr>
                <w:rFonts w:ascii="Times New Roman" w:hAnsi="Times New Roman"/>
                <w:sz w:val="16"/>
                <w:szCs w:val="16"/>
              </w:rPr>
              <w:t>MNC digit 1</w:t>
            </w:r>
          </w:p>
        </w:tc>
        <w:tc>
          <w:tcPr>
            <w:tcW w:w="1134" w:type="dxa"/>
            <w:tcBorders>
              <w:top w:val="nil"/>
              <w:left w:val="nil"/>
              <w:bottom w:val="nil"/>
              <w:right w:val="nil"/>
            </w:tcBorders>
          </w:tcPr>
          <w:p w14:paraId="37721061" w14:textId="77777777" w:rsidR="00CA6EA1" w:rsidRPr="00CA6EA1" w:rsidRDefault="00CA6EA1" w:rsidP="001854BE">
            <w:pPr>
              <w:pStyle w:val="TAC"/>
              <w:jc w:val="left"/>
              <w:rPr>
                <w:rFonts w:ascii="Times New Roman" w:hAnsi="Times New Roman"/>
                <w:sz w:val="16"/>
                <w:szCs w:val="16"/>
              </w:rPr>
            </w:pPr>
            <w:r w:rsidRPr="00CA6EA1">
              <w:rPr>
                <w:rFonts w:ascii="Times New Roman" w:hAnsi="Times New Roman"/>
                <w:sz w:val="16"/>
                <w:szCs w:val="16"/>
              </w:rPr>
              <w:t>Octet 8*</w:t>
            </w:r>
          </w:p>
        </w:tc>
      </w:tr>
    </w:tbl>
    <w:p w14:paraId="166812F7" w14:textId="22690F6B" w:rsidR="005C16D8" w:rsidRPr="00591D77" w:rsidRDefault="00CA6EA1" w:rsidP="00CA6EA1">
      <w:pPr>
        <w:spacing w:before="200"/>
        <w:rPr>
          <w:lang w:val="en-GB" w:eastAsia="zh-CN"/>
        </w:rPr>
      </w:pPr>
      <w:r>
        <w:rPr>
          <w:lang w:val="en-GB" w:eastAsia="zh-CN"/>
        </w:rPr>
        <w:t xml:space="preserve">The </w:t>
      </w:r>
      <w:r w:rsidRPr="00CA6EA1">
        <w:rPr>
          <w:i/>
          <w:iCs/>
          <w:lang w:val="en-GB" w:eastAsia="zh-CN"/>
        </w:rPr>
        <w:t>serviceID</w:t>
      </w:r>
      <w:r>
        <w:rPr>
          <w:lang w:val="en-GB" w:eastAsia="zh-CN"/>
        </w:rPr>
        <w:t xml:space="preserve"> used in LTE is described as: </w:t>
      </w:r>
    </w:p>
    <w:tbl>
      <w:tblPr>
        <w:tblW w:w="916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67"/>
      </w:tblGrid>
      <w:tr w:rsidR="005754B0" w:rsidRPr="00CA6EA1" w14:paraId="70F4B51E" w14:textId="77777777" w:rsidTr="00CC43A0">
        <w:trPr>
          <w:cantSplit/>
          <w:trHeight w:val="839"/>
        </w:trPr>
        <w:tc>
          <w:tcPr>
            <w:tcW w:w="9167" w:type="dxa"/>
            <w:tcBorders>
              <w:top w:val="single" w:sz="4" w:space="0" w:color="808080"/>
              <w:left w:val="single" w:sz="4" w:space="0" w:color="808080"/>
              <w:bottom w:val="single" w:sz="4" w:space="0" w:color="808080"/>
              <w:right w:val="single" w:sz="4" w:space="0" w:color="808080"/>
            </w:tcBorders>
          </w:tcPr>
          <w:p w14:paraId="487AAFE1" w14:textId="77777777" w:rsidR="005754B0" w:rsidRPr="00CA6EA1" w:rsidRDefault="005754B0" w:rsidP="006E6903">
            <w:pPr>
              <w:pStyle w:val="TAL"/>
              <w:rPr>
                <w:rFonts w:ascii="Times New Roman" w:hAnsi="Times New Roman"/>
                <w:b/>
                <w:bCs/>
                <w:i/>
                <w:noProof/>
                <w:sz w:val="16"/>
                <w:szCs w:val="16"/>
                <w:lang w:eastAsia="en-GB"/>
              </w:rPr>
            </w:pPr>
            <w:r w:rsidRPr="00CA6EA1">
              <w:rPr>
                <w:rFonts w:ascii="Times New Roman" w:hAnsi="Times New Roman"/>
                <w:b/>
                <w:bCs/>
                <w:i/>
                <w:noProof/>
                <w:sz w:val="16"/>
                <w:szCs w:val="16"/>
                <w:lang w:eastAsia="en-GB"/>
              </w:rPr>
              <w:t>serviceId</w:t>
            </w:r>
          </w:p>
          <w:p w14:paraId="25BA239B" w14:textId="77777777" w:rsidR="005754B0" w:rsidRPr="00CA6EA1" w:rsidRDefault="005754B0" w:rsidP="006E6903">
            <w:pPr>
              <w:pStyle w:val="TAL"/>
              <w:rPr>
                <w:rFonts w:ascii="Times New Roman" w:hAnsi="Times New Roman"/>
                <w:bCs/>
                <w:noProof/>
                <w:sz w:val="16"/>
                <w:szCs w:val="16"/>
                <w:lang w:eastAsia="en-GB"/>
              </w:rPr>
            </w:pPr>
            <w:r w:rsidRPr="00CA6EA1">
              <w:rPr>
                <w:rFonts w:ascii="Times New Roman" w:hAnsi="Times New Roman"/>
                <w:bCs/>
                <w:noProof/>
                <w:sz w:val="16"/>
                <w:szCs w:val="16"/>
                <w:lang w:eastAsia="en-GB"/>
              </w:rPr>
              <w:t>Uniquely identifies the identity of an MBMS service within a PLMN. The field contains octet 3- 5 of the IE Temporary Mobile Group Identity (TMGI) as defined in TS 24.008 [49]. The first octet contains the third octet of the TMGI, the second octet contains the fourth octet of the TMGI and so on.</w:t>
            </w:r>
          </w:p>
        </w:tc>
      </w:tr>
    </w:tbl>
    <w:p w14:paraId="5DF78B25" w14:textId="7B609BA9" w:rsidR="007E063A" w:rsidRDefault="007E063A" w:rsidP="008F65DC">
      <w:pPr>
        <w:spacing w:before="200"/>
        <w:rPr>
          <w:lang w:val="en-GB" w:eastAsia="zh-CN"/>
        </w:rPr>
      </w:pPr>
      <w:r>
        <w:rPr>
          <w:lang w:val="en-GB" w:eastAsia="zh-CN"/>
        </w:rPr>
        <w:t>In case a</w:t>
      </w:r>
      <w:r w:rsidR="008F65DC">
        <w:rPr>
          <w:lang w:val="en-GB" w:eastAsia="zh-CN"/>
        </w:rPr>
        <w:t xml:space="preserve"> multicast </w:t>
      </w:r>
      <w:r>
        <w:rPr>
          <w:lang w:val="en-GB" w:eastAsia="zh-CN"/>
        </w:rPr>
        <w:t>MRB is released</w:t>
      </w:r>
      <w:r w:rsidR="008F65DC">
        <w:rPr>
          <w:lang w:val="en-GB" w:eastAsia="zh-CN"/>
        </w:rPr>
        <w:t>, or a broadcast MRB is established or released, the TMGI is reported to the upper layers.</w:t>
      </w:r>
    </w:p>
    <w:p w14:paraId="4440A692" w14:textId="05774A1E" w:rsidR="00547521" w:rsidRPr="00F912A3" w:rsidRDefault="00F912A3" w:rsidP="008F65DC">
      <w:pPr>
        <w:spacing w:before="200"/>
        <w:rPr>
          <w:b/>
          <w:bCs/>
          <w:lang w:val="en-GB" w:eastAsia="zh-CN"/>
        </w:rPr>
      </w:pPr>
      <w:r>
        <w:rPr>
          <w:b/>
          <w:bCs/>
          <w:lang w:val="en-GB" w:eastAsia="zh-CN"/>
        </w:rPr>
        <w:t xml:space="preserve">Lists in the </w:t>
      </w:r>
      <w:r w:rsidR="00547521" w:rsidRPr="00F912A3">
        <w:rPr>
          <w:b/>
          <w:bCs/>
          <w:lang w:val="en-GB" w:eastAsia="zh-CN"/>
        </w:rPr>
        <w:t>Paging message</w:t>
      </w:r>
    </w:p>
    <w:p w14:paraId="33D901F3" w14:textId="7021C5FC" w:rsidR="00547521" w:rsidRDefault="00547521" w:rsidP="008F65DC">
      <w:pPr>
        <w:spacing w:before="200"/>
        <w:rPr>
          <w:lang w:val="en-GB" w:eastAsia="zh-CN"/>
        </w:rPr>
      </w:pPr>
      <w:r>
        <w:rPr>
          <w:lang w:val="en-GB" w:eastAsia="zh-CN"/>
        </w:rPr>
        <w:t>Both</w:t>
      </w:r>
      <w:r w:rsidR="00F912A3">
        <w:rPr>
          <w:lang w:val="en-GB" w:eastAsia="zh-CN"/>
        </w:rPr>
        <w:t xml:space="preserve"> the </w:t>
      </w:r>
      <w:r w:rsidR="00F912A3" w:rsidRPr="00547521">
        <w:rPr>
          <w:i/>
          <w:iCs/>
          <w:lang w:val="en-GB" w:eastAsia="zh-CN"/>
        </w:rPr>
        <w:t>pagingRecordList</w:t>
      </w:r>
      <w:r w:rsidR="00F912A3">
        <w:rPr>
          <w:lang w:val="en-GB" w:eastAsia="zh-CN"/>
        </w:rPr>
        <w:t xml:space="preserve"> and </w:t>
      </w:r>
      <w:r w:rsidR="00F912A3" w:rsidRPr="00547521">
        <w:rPr>
          <w:i/>
          <w:iCs/>
          <w:lang w:val="en-GB" w:eastAsia="zh-CN"/>
        </w:rPr>
        <w:t>pagingGroupList</w:t>
      </w:r>
      <w:r w:rsidR="00F912A3">
        <w:rPr>
          <w:lang w:val="en-GB" w:eastAsia="zh-CN"/>
        </w:rPr>
        <w:t xml:space="preserve"> in the Paging message are optionally present. But it is not clear in what use case the </w:t>
      </w:r>
      <w:r w:rsidR="00F912A3" w:rsidRPr="00547521">
        <w:rPr>
          <w:i/>
          <w:iCs/>
          <w:lang w:val="en-GB" w:eastAsia="zh-CN"/>
        </w:rPr>
        <w:t>pagingRecordList</w:t>
      </w:r>
      <w:r w:rsidR="00F912A3">
        <w:rPr>
          <w:lang w:val="en-GB" w:eastAsia="zh-CN"/>
        </w:rPr>
        <w:t xml:space="preserve"> is absent in the </w:t>
      </w:r>
      <w:r w:rsidR="00ED2BCD">
        <w:rPr>
          <w:lang w:val="en-GB" w:eastAsia="zh-CN"/>
        </w:rPr>
        <w:t>Paging message on the PDSCH</w:t>
      </w:r>
      <w:r w:rsidR="00D07907">
        <w:rPr>
          <w:lang w:val="en-GB" w:eastAsia="zh-CN"/>
        </w:rPr>
        <w:t xml:space="preserve">. There can be Paging PDCCH only e.g. to indicate SI change of ETWS/CMAS indication, without a Paging message on PDSCH. But it is understood that when the Paging message on PDSCH is present, it includes a </w:t>
      </w:r>
      <w:r w:rsidR="00D07907" w:rsidRPr="00547521">
        <w:rPr>
          <w:i/>
          <w:iCs/>
          <w:lang w:val="en-GB" w:eastAsia="zh-CN"/>
        </w:rPr>
        <w:t>pagingRecordList</w:t>
      </w:r>
      <w:r w:rsidR="00D07907">
        <w:rPr>
          <w:lang w:val="en-GB" w:eastAsia="zh-CN"/>
        </w:rPr>
        <w:t xml:space="preserve">. </w:t>
      </w:r>
      <w:r w:rsidR="00ED2BCD">
        <w:rPr>
          <w:lang w:val="en-GB" w:eastAsia="zh-CN"/>
        </w:rPr>
        <w:t xml:space="preserve"> </w:t>
      </w:r>
    </w:p>
    <w:p w14:paraId="43E46961" w14:textId="77777777" w:rsidR="00547521" w:rsidRPr="00547521" w:rsidRDefault="00547521" w:rsidP="00547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521">
        <w:rPr>
          <w:rFonts w:ascii="Courier New" w:eastAsia="Times New Roman" w:hAnsi="Courier New"/>
          <w:noProof/>
          <w:sz w:val="16"/>
          <w:szCs w:val="20"/>
          <w:lang w:val="en-GB" w:eastAsia="en-GB"/>
        </w:rPr>
        <w:t xml:space="preserve">Paging ::=                          </w:t>
      </w:r>
      <w:r w:rsidRPr="00547521">
        <w:rPr>
          <w:rFonts w:ascii="Courier New" w:eastAsia="Times New Roman" w:hAnsi="Courier New"/>
          <w:noProof/>
          <w:color w:val="993366"/>
          <w:sz w:val="16"/>
          <w:szCs w:val="20"/>
          <w:lang w:val="en-GB" w:eastAsia="en-GB"/>
        </w:rPr>
        <w:t>SEQUENCE</w:t>
      </w:r>
      <w:r w:rsidRPr="00547521">
        <w:rPr>
          <w:rFonts w:ascii="Courier New" w:eastAsia="Times New Roman" w:hAnsi="Courier New"/>
          <w:noProof/>
          <w:sz w:val="16"/>
          <w:szCs w:val="20"/>
          <w:lang w:val="en-GB" w:eastAsia="en-GB"/>
        </w:rPr>
        <w:t xml:space="preserve"> {</w:t>
      </w:r>
    </w:p>
    <w:p w14:paraId="2CAB8E86" w14:textId="7D117198" w:rsidR="00547521" w:rsidRPr="00547521" w:rsidRDefault="00547521" w:rsidP="00547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47521">
        <w:rPr>
          <w:rFonts w:ascii="Courier New" w:eastAsia="Times New Roman" w:hAnsi="Courier New"/>
          <w:noProof/>
          <w:sz w:val="16"/>
          <w:szCs w:val="20"/>
          <w:lang w:val="en-GB" w:eastAsia="en-GB"/>
        </w:rPr>
        <w:t xml:space="preserve">    pagingRecordList                    PagingRecordList              </w:t>
      </w:r>
      <w:r w:rsidRPr="00547521">
        <w:rPr>
          <w:rFonts w:ascii="Courier New" w:eastAsia="Times New Roman" w:hAnsi="Courier New"/>
          <w:noProof/>
          <w:color w:val="993366"/>
          <w:sz w:val="16"/>
          <w:szCs w:val="20"/>
          <w:lang w:val="en-GB" w:eastAsia="en-GB"/>
        </w:rPr>
        <w:t>OPTIONAL</w:t>
      </w:r>
      <w:r w:rsidRPr="00547521">
        <w:rPr>
          <w:rFonts w:ascii="Courier New" w:eastAsia="Times New Roman" w:hAnsi="Courier New"/>
          <w:noProof/>
          <w:sz w:val="16"/>
          <w:szCs w:val="20"/>
          <w:lang w:val="en-GB" w:eastAsia="en-GB"/>
        </w:rPr>
        <w:t xml:space="preserve">, </w:t>
      </w:r>
      <w:r w:rsidRPr="00547521">
        <w:rPr>
          <w:rFonts w:ascii="Courier New" w:eastAsia="Times New Roman" w:hAnsi="Courier New"/>
          <w:noProof/>
          <w:color w:val="808080"/>
          <w:sz w:val="16"/>
          <w:szCs w:val="20"/>
          <w:lang w:val="en-GB" w:eastAsia="en-GB"/>
        </w:rPr>
        <w:t>-- Need N</w:t>
      </w:r>
    </w:p>
    <w:p w14:paraId="4C876DD1" w14:textId="33EC23D0" w:rsidR="00547521" w:rsidRPr="00547521" w:rsidRDefault="00547521" w:rsidP="00547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521">
        <w:rPr>
          <w:rFonts w:ascii="Courier New" w:eastAsia="Times New Roman" w:hAnsi="Courier New"/>
          <w:noProof/>
          <w:sz w:val="16"/>
          <w:szCs w:val="20"/>
          <w:lang w:val="en-GB" w:eastAsia="en-GB"/>
        </w:rPr>
        <w:t xml:space="preserve">    lateNonCriticalExtension            </w:t>
      </w:r>
      <w:r w:rsidRPr="00547521">
        <w:rPr>
          <w:rFonts w:ascii="Courier New" w:eastAsia="Times New Roman" w:hAnsi="Courier New"/>
          <w:noProof/>
          <w:color w:val="993366"/>
          <w:sz w:val="16"/>
          <w:szCs w:val="20"/>
          <w:lang w:val="en-GB" w:eastAsia="en-GB"/>
        </w:rPr>
        <w:t>OCTET</w:t>
      </w:r>
      <w:r w:rsidRPr="00547521">
        <w:rPr>
          <w:rFonts w:ascii="Courier New" w:eastAsia="Times New Roman" w:hAnsi="Courier New"/>
          <w:noProof/>
          <w:sz w:val="16"/>
          <w:szCs w:val="20"/>
          <w:lang w:val="en-GB" w:eastAsia="en-GB"/>
        </w:rPr>
        <w:t xml:space="preserve"> </w:t>
      </w:r>
      <w:r w:rsidRPr="00547521">
        <w:rPr>
          <w:rFonts w:ascii="Courier New" w:eastAsia="Times New Roman" w:hAnsi="Courier New"/>
          <w:noProof/>
          <w:color w:val="993366"/>
          <w:sz w:val="16"/>
          <w:szCs w:val="20"/>
          <w:lang w:val="en-GB" w:eastAsia="en-GB"/>
        </w:rPr>
        <w:t>STRING</w:t>
      </w:r>
      <w:r w:rsidRPr="00547521">
        <w:rPr>
          <w:rFonts w:ascii="Courier New" w:eastAsia="Times New Roman" w:hAnsi="Courier New"/>
          <w:noProof/>
          <w:sz w:val="16"/>
          <w:szCs w:val="20"/>
          <w:lang w:val="en-GB" w:eastAsia="en-GB"/>
        </w:rPr>
        <w:t xml:space="preserve">                  </w:t>
      </w:r>
      <w:r w:rsidRPr="00547521">
        <w:rPr>
          <w:rFonts w:ascii="Courier New" w:eastAsia="Times New Roman" w:hAnsi="Courier New"/>
          <w:noProof/>
          <w:color w:val="993366"/>
          <w:sz w:val="16"/>
          <w:szCs w:val="20"/>
          <w:lang w:val="en-GB" w:eastAsia="en-GB"/>
        </w:rPr>
        <w:t>OPTIONAL</w:t>
      </w:r>
      <w:r w:rsidRPr="00547521">
        <w:rPr>
          <w:rFonts w:ascii="Courier New" w:eastAsia="Times New Roman" w:hAnsi="Courier New"/>
          <w:noProof/>
          <w:sz w:val="16"/>
          <w:szCs w:val="20"/>
          <w:lang w:val="en-GB" w:eastAsia="en-GB"/>
        </w:rPr>
        <w:t>,</w:t>
      </w:r>
    </w:p>
    <w:p w14:paraId="028CBB2E" w14:textId="77E0B6A3" w:rsidR="00547521" w:rsidRPr="00547521" w:rsidRDefault="00547521" w:rsidP="00547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521">
        <w:rPr>
          <w:rFonts w:ascii="Courier New" w:eastAsia="Times New Roman" w:hAnsi="Courier New"/>
          <w:noProof/>
          <w:sz w:val="16"/>
          <w:szCs w:val="20"/>
          <w:lang w:val="en-GB" w:eastAsia="en-GB"/>
        </w:rPr>
        <w:t xml:space="preserve">    nonCriticalExtension                Paging-v1700-IEs              </w:t>
      </w:r>
      <w:r w:rsidRPr="00547521">
        <w:rPr>
          <w:rFonts w:ascii="Courier New" w:eastAsia="Times New Roman" w:hAnsi="Courier New"/>
          <w:noProof/>
          <w:color w:val="993366"/>
          <w:sz w:val="16"/>
          <w:szCs w:val="20"/>
          <w:lang w:val="en-GB" w:eastAsia="en-GB"/>
        </w:rPr>
        <w:t>OPTIONAL</w:t>
      </w:r>
    </w:p>
    <w:p w14:paraId="6BF5756D" w14:textId="77777777" w:rsidR="00547521" w:rsidRPr="00547521" w:rsidRDefault="00547521" w:rsidP="00547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521">
        <w:rPr>
          <w:rFonts w:ascii="Courier New" w:eastAsia="Times New Roman" w:hAnsi="Courier New"/>
          <w:noProof/>
          <w:sz w:val="16"/>
          <w:szCs w:val="20"/>
          <w:lang w:val="en-GB" w:eastAsia="en-GB"/>
        </w:rPr>
        <w:t>}</w:t>
      </w:r>
    </w:p>
    <w:p w14:paraId="42A6CCC3" w14:textId="77777777" w:rsidR="00547521" w:rsidRPr="00547521" w:rsidRDefault="00547521" w:rsidP="00547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140A307B" w14:textId="77777777" w:rsidR="00547521" w:rsidRPr="00547521" w:rsidRDefault="00547521" w:rsidP="00547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521">
        <w:rPr>
          <w:rFonts w:ascii="Courier New" w:eastAsia="Times New Roman" w:hAnsi="Courier New"/>
          <w:noProof/>
          <w:sz w:val="16"/>
          <w:szCs w:val="20"/>
          <w:lang w:val="en-GB" w:eastAsia="en-GB"/>
        </w:rPr>
        <w:t xml:space="preserve">Paging-v1700-IEs ::=                </w:t>
      </w:r>
      <w:r w:rsidRPr="00547521">
        <w:rPr>
          <w:rFonts w:ascii="Courier New" w:eastAsia="Times New Roman" w:hAnsi="Courier New"/>
          <w:noProof/>
          <w:color w:val="993366"/>
          <w:sz w:val="16"/>
          <w:szCs w:val="20"/>
          <w:lang w:val="en-GB" w:eastAsia="en-GB"/>
        </w:rPr>
        <w:t>SEQUENCE</w:t>
      </w:r>
      <w:r w:rsidRPr="00547521">
        <w:rPr>
          <w:rFonts w:ascii="Courier New" w:eastAsia="Times New Roman" w:hAnsi="Courier New"/>
          <w:noProof/>
          <w:sz w:val="16"/>
          <w:szCs w:val="20"/>
          <w:lang w:val="en-GB" w:eastAsia="en-GB"/>
        </w:rPr>
        <w:t xml:space="preserve"> {</w:t>
      </w:r>
    </w:p>
    <w:p w14:paraId="65F297C7" w14:textId="5B4B488B" w:rsidR="00547521" w:rsidRPr="00547521" w:rsidRDefault="00547521" w:rsidP="00547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47521">
        <w:rPr>
          <w:rFonts w:ascii="Courier New" w:eastAsia="Times New Roman" w:hAnsi="Courier New"/>
          <w:noProof/>
          <w:sz w:val="16"/>
          <w:szCs w:val="20"/>
          <w:lang w:val="en-GB" w:eastAsia="en-GB"/>
        </w:rPr>
        <w:t xml:space="preserve">    pagingRecordList-v1700              PagingRecordList-v1700        </w:t>
      </w:r>
      <w:r w:rsidRPr="00547521">
        <w:rPr>
          <w:rFonts w:ascii="Courier New" w:eastAsia="Times New Roman" w:hAnsi="Courier New"/>
          <w:noProof/>
          <w:color w:val="993366"/>
          <w:sz w:val="16"/>
          <w:szCs w:val="20"/>
          <w:lang w:val="en-GB" w:eastAsia="en-GB"/>
        </w:rPr>
        <w:t>OPTIONAL</w:t>
      </w:r>
      <w:r w:rsidRPr="00547521">
        <w:rPr>
          <w:rFonts w:ascii="Courier New" w:eastAsia="Times New Roman" w:hAnsi="Courier New"/>
          <w:noProof/>
          <w:sz w:val="16"/>
          <w:szCs w:val="20"/>
          <w:lang w:val="en-GB" w:eastAsia="en-GB"/>
        </w:rPr>
        <w:t xml:space="preserve">, </w:t>
      </w:r>
      <w:r w:rsidRPr="00547521">
        <w:rPr>
          <w:rFonts w:ascii="Courier New" w:eastAsia="Times New Roman" w:hAnsi="Courier New"/>
          <w:noProof/>
          <w:color w:val="808080"/>
          <w:sz w:val="16"/>
          <w:szCs w:val="20"/>
          <w:lang w:val="en-GB" w:eastAsia="en-GB"/>
        </w:rPr>
        <w:t>-- Need N</w:t>
      </w:r>
    </w:p>
    <w:p w14:paraId="26B596DE" w14:textId="1C70B6DC" w:rsidR="00547521" w:rsidRPr="00547521" w:rsidRDefault="00547521" w:rsidP="00547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521">
        <w:rPr>
          <w:rFonts w:ascii="Courier New" w:eastAsia="Times New Roman" w:hAnsi="Courier New"/>
          <w:noProof/>
          <w:sz w:val="16"/>
          <w:szCs w:val="20"/>
          <w:lang w:val="en-GB" w:eastAsia="en-GB"/>
        </w:rPr>
        <w:t xml:space="preserve">    pagingGroupList-r17                 PagingGroupList-r17           </w:t>
      </w:r>
      <w:r w:rsidRPr="00547521">
        <w:rPr>
          <w:rFonts w:ascii="Courier New" w:eastAsia="Times New Roman" w:hAnsi="Courier New"/>
          <w:noProof/>
          <w:color w:val="993366"/>
          <w:sz w:val="16"/>
          <w:szCs w:val="20"/>
          <w:lang w:val="en-GB" w:eastAsia="en-GB"/>
        </w:rPr>
        <w:t>OPTIONAL</w:t>
      </w:r>
      <w:r w:rsidRPr="00547521">
        <w:rPr>
          <w:rFonts w:ascii="Courier New" w:eastAsia="Times New Roman" w:hAnsi="Courier New"/>
          <w:noProof/>
          <w:sz w:val="16"/>
          <w:szCs w:val="20"/>
          <w:lang w:val="en-GB" w:eastAsia="en-GB"/>
        </w:rPr>
        <w:t>,</w:t>
      </w:r>
    </w:p>
    <w:p w14:paraId="1F6999DE" w14:textId="7C9FFAC7" w:rsidR="00547521" w:rsidRPr="00547521" w:rsidRDefault="00547521" w:rsidP="00547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521">
        <w:rPr>
          <w:rFonts w:ascii="Courier New" w:eastAsia="Times New Roman" w:hAnsi="Courier New"/>
          <w:noProof/>
          <w:sz w:val="16"/>
          <w:szCs w:val="20"/>
          <w:lang w:val="en-GB" w:eastAsia="en-GB"/>
        </w:rPr>
        <w:t xml:space="preserve">    nonCriticalExtension                </w:t>
      </w:r>
      <w:r w:rsidRPr="00547521">
        <w:rPr>
          <w:rFonts w:ascii="Courier New" w:eastAsia="Times New Roman" w:hAnsi="Courier New"/>
          <w:noProof/>
          <w:color w:val="993366"/>
          <w:sz w:val="16"/>
          <w:szCs w:val="20"/>
          <w:lang w:val="en-GB" w:eastAsia="en-GB"/>
        </w:rPr>
        <w:t>SEQUENCE</w:t>
      </w:r>
      <w:r w:rsidRPr="00547521">
        <w:rPr>
          <w:rFonts w:ascii="Courier New" w:eastAsia="Times New Roman" w:hAnsi="Courier New"/>
          <w:noProof/>
          <w:sz w:val="16"/>
          <w:szCs w:val="20"/>
          <w:lang w:val="en-GB" w:eastAsia="en-GB"/>
        </w:rPr>
        <w:t xml:space="preserve"> {}                   </w:t>
      </w:r>
      <w:r w:rsidRPr="00547521">
        <w:rPr>
          <w:rFonts w:ascii="Courier New" w:eastAsia="Times New Roman" w:hAnsi="Courier New"/>
          <w:noProof/>
          <w:color w:val="993366"/>
          <w:sz w:val="16"/>
          <w:szCs w:val="20"/>
          <w:lang w:val="en-GB" w:eastAsia="en-GB"/>
        </w:rPr>
        <w:t>OPTIONAL</w:t>
      </w:r>
    </w:p>
    <w:p w14:paraId="31409D9C" w14:textId="77777777" w:rsidR="00547521" w:rsidRPr="00547521" w:rsidRDefault="00547521" w:rsidP="00547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521">
        <w:rPr>
          <w:rFonts w:ascii="Courier New" w:eastAsia="Times New Roman" w:hAnsi="Courier New"/>
          <w:noProof/>
          <w:sz w:val="16"/>
          <w:szCs w:val="20"/>
          <w:lang w:val="en-GB" w:eastAsia="en-GB"/>
        </w:rPr>
        <w:t>}</w:t>
      </w:r>
    </w:p>
    <w:p w14:paraId="1DEB3AB7" w14:textId="5A906010" w:rsidR="00FA27C0" w:rsidRDefault="009D725A" w:rsidP="00FA27C0">
      <w:pPr>
        <w:pStyle w:val="Heading1"/>
      </w:pPr>
      <w:r>
        <w:t>Discussion</w:t>
      </w:r>
      <w:bookmarkEnd w:id="4"/>
    </w:p>
    <w:p w14:paraId="2FAD4F44" w14:textId="785A5E48" w:rsidR="007143A9" w:rsidRPr="007143A9" w:rsidRDefault="007143A9" w:rsidP="007143A9">
      <w:pPr>
        <w:rPr>
          <w:b/>
          <w:bCs/>
          <w:lang w:val="en-GB" w:eastAsia="zh-CN"/>
        </w:rPr>
      </w:pPr>
      <w:r w:rsidRPr="007143A9">
        <w:rPr>
          <w:b/>
          <w:bCs/>
          <w:lang w:val="en-GB" w:eastAsia="zh-CN"/>
        </w:rPr>
        <w:t>Multicast session start and paging</w:t>
      </w:r>
    </w:p>
    <w:p w14:paraId="3DDFFA1A" w14:textId="6C7BA7F6" w:rsidR="007143A9" w:rsidRDefault="007143A9" w:rsidP="007143A9">
      <w:pPr>
        <w:rPr>
          <w:lang w:val="en-GB" w:eastAsia="zh-CN"/>
        </w:rPr>
      </w:pPr>
      <w:r>
        <w:rPr>
          <w:lang w:val="en-GB" w:eastAsia="zh-CN"/>
        </w:rPr>
        <w:t xml:space="preserve">There is no action for the UE when the </w:t>
      </w:r>
      <w:r w:rsidRPr="007143A9">
        <w:rPr>
          <w:i/>
          <w:iCs/>
          <w:lang w:val="en-GB" w:eastAsia="zh-CN"/>
        </w:rPr>
        <w:t>pagingGroupList</w:t>
      </w:r>
      <w:r>
        <w:rPr>
          <w:lang w:val="en-GB" w:eastAsia="zh-CN"/>
        </w:rPr>
        <w:t xml:space="preserve"> is absent in the Paging message:</w:t>
      </w:r>
    </w:p>
    <w:p w14:paraId="5EE77BC1" w14:textId="544B7BED" w:rsidR="007143A9" w:rsidRDefault="007143A9" w:rsidP="007143A9">
      <w:pPr>
        <w:rPr>
          <w:i/>
          <w:iCs/>
          <w:lang w:val="en-GB" w:eastAsia="zh-CN"/>
        </w:rPr>
      </w:pPr>
      <w:r w:rsidRPr="007143A9">
        <w:rPr>
          <w:b/>
          <w:bCs/>
          <w:lang w:val="en-GB" w:eastAsia="zh-CN"/>
        </w:rPr>
        <w:t>Proposal 1</w:t>
      </w:r>
      <w:r>
        <w:rPr>
          <w:lang w:val="en-GB" w:eastAsia="zh-CN"/>
        </w:rPr>
        <w:t xml:space="preserve">: Need code N is used for </w:t>
      </w:r>
      <w:r w:rsidRPr="007143A9">
        <w:rPr>
          <w:i/>
          <w:iCs/>
          <w:lang w:val="en-GB" w:eastAsia="zh-CN"/>
        </w:rPr>
        <w:t>pagingGroupList</w:t>
      </w:r>
    </w:p>
    <w:p w14:paraId="6EDE073D" w14:textId="310601F2" w:rsidR="007143A9" w:rsidRDefault="00B43D45" w:rsidP="007143A9">
      <w:pPr>
        <w:rPr>
          <w:lang w:val="en-GB" w:eastAsia="zh-CN"/>
        </w:rPr>
      </w:pPr>
      <w:r w:rsidRPr="00B43D45">
        <w:rPr>
          <w:b/>
          <w:bCs/>
          <w:lang w:val="en-GB" w:eastAsia="zh-CN"/>
        </w:rPr>
        <w:t>Proposal 2</w:t>
      </w:r>
      <w:r>
        <w:rPr>
          <w:lang w:val="en-GB" w:eastAsia="zh-CN"/>
        </w:rPr>
        <w:t xml:space="preserve">: The following field description is used for the </w:t>
      </w:r>
      <w:r w:rsidRPr="00B43D45">
        <w:rPr>
          <w:i/>
          <w:iCs/>
          <w:lang w:val="en-GB" w:eastAsia="zh-CN"/>
        </w:rPr>
        <w:t>serviceID</w:t>
      </w:r>
      <w:r w:rsidR="008F5DE1">
        <w:rPr>
          <w:i/>
          <w:iCs/>
          <w:lang w:val="en-GB" w:eastAsia="zh-CN"/>
        </w:rPr>
        <w:t xml:space="preserve"> </w:t>
      </w:r>
      <w:r w:rsidR="008F5DE1">
        <w:rPr>
          <w:lang w:val="en-GB" w:eastAsia="zh-CN"/>
        </w:rPr>
        <w:t>(similar as in LTE)</w:t>
      </w:r>
      <w:r>
        <w:rPr>
          <w:lang w:val="en-GB" w:eastAsia="zh-CN"/>
        </w:rPr>
        <w:t xml:space="preserve">: </w:t>
      </w:r>
    </w:p>
    <w:p w14:paraId="5A4E533F" w14:textId="77777777" w:rsidR="00B43D45" w:rsidRPr="00CA6EA1" w:rsidRDefault="00B43D45" w:rsidP="00B43D45">
      <w:pPr>
        <w:pStyle w:val="TAL"/>
        <w:rPr>
          <w:rFonts w:ascii="Times New Roman" w:hAnsi="Times New Roman"/>
          <w:b/>
          <w:bCs/>
          <w:i/>
          <w:noProof/>
          <w:sz w:val="16"/>
          <w:szCs w:val="16"/>
          <w:lang w:eastAsia="en-GB"/>
        </w:rPr>
      </w:pPr>
      <w:r w:rsidRPr="00CA6EA1">
        <w:rPr>
          <w:rFonts w:ascii="Times New Roman" w:hAnsi="Times New Roman"/>
          <w:b/>
          <w:bCs/>
          <w:i/>
          <w:noProof/>
          <w:sz w:val="16"/>
          <w:szCs w:val="16"/>
          <w:lang w:eastAsia="en-GB"/>
        </w:rPr>
        <w:t>serviceId</w:t>
      </w:r>
    </w:p>
    <w:p w14:paraId="410FC346" w14:textId="6472F19D" w:rsidR="00B43D45" w:rsidRPr="007143A9" w:rsidRDefault="00B43D45" w:rsidP="00B43D45">
      <w:pPr>
        <w:rPr>
          <w:lang w:val="en-GB" w:eastAsia="zh-CN"/>
        </w:rPr>
      </w:pPr>
      <w:r w:rsidRPr="00CA6EA1">
        <w:rPr>
          <w:rFonts w:ascii="Times New Roman" w:hAnsi="Times New Roman"/>
          <w:bCs/>
          <w:noProof/>
          <w:sz w:val="16"/>
          <w:szCs w:val="16"/>
          <w:lang w:eastAsia="en-GB"/>
        </w:rPr>
        <w:t>Uniquely identifies the identity of an MB</w:t>
      </w:r>
      <w:r>
        <w:rPr>
          <w:rFonts w:ascii="Times New Roman" w:hAnsi="Times New Roman"/>
          <w:bCs/>
          <w:noProof/>
          <w:sz w:val="16"/>
          <w:szCs w:val="16"/>
          <w:lang w:eastAsia="en-GB"/>
        </w:rPr>
        <w:t>S</w:t>
      </w:r>
      <w:r w:rsidRPr="00CA6EA1">
        <w:rPr>
          <w:rFonts w:ascii="Times New Roman" w:hAnsi="Times New Roman"/>
          <w:bCs/>
          <w:noProof/>
          <w:sz w:val="16"/>
          <w:szCs w:val="16"/>
          <w:lang w:eastAsia="en-GB"/>
        </w:rPr>
        <w:t xml:space="preserve"> service within a PLMN. The field contains octet 3- 5 of the IE Temporary Mobile Group Identity (TMGI) as defined in TS 24.008 [49]. The first octet contains the third octet of the TMGI, the second octet contains the fourth octet of the TMGI and so on.</w:t>
      </w:r>
    </w:p>
    <w:p w14:paraId="26C6BCCB" w14:textId="77175AA3" w:rsidR="007143A9" w:rsidRPr="007143A9" w:rsidRDefault="007143A9" w:rsidP="007143A9">
      <w:pPr>
        <w:rPr>
          <w:b/>
          <w:bCs/>
          <w:lang w:val="en-GB" w:eastAsia="zh-CN"/>
        </w:rPr>
      </w:pPr>
      <w:r w:rsidRPr="007143A9">
        <w:rPr>
          <w:b/>
          <w:bCs/>
          <w:lang w:val="en-GB" w:eastAsia="zh-CN"/>
        </w:rPr>
        <w:t xml:space="preserve">TMGI reporting </w:t>
      </w:r>
      <w:r w:rsidR="00820689">
        <w:rPr>
          <w:b/>
          <w:bCs/>
          <w:lang w:val="en-GB" w:eastAsia="zh-CN"/>
        </w:rPr>
        <w:t>with</w:t>
      </w:r>
      <w:r w:rsidRPr="007143A9">
        <w:rPr>
          <w:b/>
          <w:bCs/>
          <w:lang w:val="en-GB" w:eastAsia="zh-CN"/>
        </w:rPr>
        <w:t xml:space="preserve"> MRB setup/release</w:t>
      </w:r>
    </w:p>
    <w:p w14:paraId="6FC22186" w14:textId="744658F9" w:rsidR="00552ECB" w:rsidRDefault="006F2424" w:rsidP="00552ECB">
      <w:pPr>
        <w:rPr>
          <w:lang w:val="en-GB" w:eastAsia="zh-CN"/>
        </w:rPr>
      </w:pPr>
      <w:r>
        <w:rPr>
          <w:lang w:val="en-GB" w:eastAsia="zh-CN"/>
        </w:rPr>
        <w:t xml:space="preserve">The TMGI reporting to </w:t>
      </w:r>
      <w:r w:rsidR="008F5DE1">
        <w:rPr>
          <w:lang w:val="en-GB" w:eastAsia="zh-CN"/>
        </w:rPr>
        <w:t xml:space="preserve">the </w:t>
      </w:r>
      <w:r>
        <w:rPr>
          <w:lang w:val="en-GB" w:eastAsia="zh-CN"/>
        </w:rPr>
        <w:t xml:space="preserve">upper layers, when a broadcast/multicast MRB is setup or released, can be used by the </w:t>
      </w:r>
      <w:r w:rsidR="00A06D02">
        <w:rPr>
          <w:lang w:val="en-GB" w:eastAsia="zh-CN"/>
        </w:rPr>
        <w:t xml:space="preserve">upper layers (not NAS layer), e.g. for display purposes: </w:t>
      </w:r>
    </w:p>
    <w:p w14:paraId="03400950" w14:textId="7023F7FB" w:rsidR="00A06D02" w:rsidRPr="00552ECB" w:rsidRDefault="00A06D02" w:rsidP="00552ECB">
      <w:pPr>
        <w:rPr>
          <w:lang w:val="en-GB" w:eastAsia="zh-CN"/>
        </w:rPr>
      </w:pPr>
      <w:r w:rsidRPr="00B43D45">
        <w:rPr>
          <w:b/>
          <w:bCs/>
          <w:lang w:val="en-GB" w:eastAsia="zh-CN"/>
        </w:rPr>
        <w:lastRenderedPageBreak/>
        <w:t xml:space="preserve">Proposal </w:t>
      </w:r>
      <w:r>
        <w:rPr>
          <w:b/>
          <w:bCs/>
          <w:lang w:val="en-GB" w:eastAsia="zh-CN"/>
        </w:rPr>
        <w:t>3</w:t>
      </w:r>
      <w:r>
        <w:rPr>
          <w:lang w:val="en-GB" w:eastAsia="zh-CN"/>
        </w:rPr>
        <w:t>: When the multicast MRB is established the TMGI is reported to the upper layers</w:t>
      </w:r>
      <w:r w:rsidR="008F5DE1">
        <w:rPr>
          <w:lang w:val="en-GB" w:eastAsia="zh-CN"/>
        </w:rPr>
        <w:t xml:space="preserve">. </w:t>
      </w:r>
    </w:p>
    <w:p w14:paraId="5E650D32" w14:textId="77777777" w:rsidR="009D725A" w:rsidRDefault="009D725A" w:rsidP="009D725A">
      <w:pPr>
        <w:pStyle w:val="Heading1"/>
        <w:jc w:val="both"/>
      </w:pPr>
      <w:bookmarkStart w:id="5" w:name="_Toc242573360"/>
      <w:r>
        <w:t>Summary</w:t>
      </w:r>
      <w:bookmarkEnd w:id="5"/>
    </w:p>
    <w:p w14:paraId="65B81F03" w14:textId="145DB5BC" w:rsidR="001659F2" w:rsidRDefault="001659F2" w:rsidP="001659F2">
      <w:bookmarkStart w:id="6" w:name="_Toc242573361"/>
      <w:r>
        <w:t xml:space="preserve">RAN2 is kindly asked to </w:t>
      </w:r>
      <w:r w:rsidR="00910638">
        <w:t xml:space="preserve">discuss </w:t>
      </w:r>
      <w:r w:rsidR="00A06D02">
        <w:t>m</w:t>
      </w:r>
      <w:r w:rsidR="00A06D02" w:rsidRPr="00A06D02">
        <w:t>ulticast session start and Paging</w:t>
      </w:r>
      <w:r>
        <w:t xml:space="preserve">: </w:t>
      </w:r>
    </w:p>
    <w:p w14:paraId="5B1A7F1D" w14:textId="77777777" w:rsidR="008F5DE1" w:rsidRDefault="008F5DE1" w:rsidP="008F5DE1">
      <w:pPr>
        <w:rPr>
          <w:i/>
          <w:iCs/>
          <w:lang w:val="en-GB" w:eastAsia="zh-CN"/>
        </w:rPr>
      </w:pPr>
      <w:r w:rsidRPr="007143A9">
        <w:rPr>
          <w:b/>
          <w:bCs/>
          <w:lang w:val="en-GB" w:eastAsia="zh-CN"/>
        </w:rPr>
        <w:t>Proposal 1</w:t>
      </w:r>
      <w:r>
        <w:rPr>
          <w:lang w:val="en-GB" w:eastAsia="zh-CN"/>
        </w:rPr>
        <w:t xml:space="preserve">: Need code N is used for </w:t>
      </w:r>
      <w:r w:rsidRPr="007143A9">
        <w:rPr>
          <w:i/>
          <w:iCs/>
          <w:lang w:val="en-GB" w:eastAsia="zh-CN"/>
        </w:rPr>
        <w:t>pagingGroupList</w:t>
      </w:r>
    </w:p>
    <w:p w14:paraId="228B6DA8" w14:textId="77777777" w:rsidR="008F5DE1" w:rsidRDefault="008F5DE1" w:rsidP="008F5DE1">
      <w:pPr>
        <w:rPr>
          <w:lang w:val="en-GB" w:eastAsia="zh-CN"/>
        </w:rPr>
      </w:pPr>
      <w:r w:rsidRPr="00B43D45">
        <w:rPr>
          <w:b/>
          <w:bCs/>
          <w:lang w:val="en-GB" w:eastAsia="zh-CN"/>
        </w:rPr>
        <w:t>Proposal 2</w:t>
      </w:r>
      <w:r>
        <w:rPr>
          <w:lang w:val="en-GB" w:eastAsia="zh-CN"/>
        </w:rPr>
        <w:t xml:space="preserve">: The following field description is used for the </w:t>
      </w:r>
      <w:r w:rsidRPr="00B43D45">
        <w:rPr>
          <w:i/>
          <w:iCs/>
          <w:lang w:val="en-GB" w:eastAsia="zh-CN"/>
        </w:rPr>
        <w:t>serviceID</w:t>
      </w:r>
      <w:r>
        <w:rPr>
          <w:i/>
          <w:iCs/>
          <w:lang w:val="en-GB" w:eastAsia="zh-CN"/>
        </w:rPr>
        <w:t xml:space="preserve"> </w:t>
      </w:r>
      <w:r>
        <w:rPr>
          <w:lang w:val="en-GB" w:eastAsia="zh-CN"/>
        </w:rPr>
        <w:t xml:space="preserve">(similar as in LTE): </w:t>
      </w:r>
    </w:p>
    <w:p w14:paraId="59FA82A6" w14:textId="77777777" w:rsidR="008F5DE1" w:rsidRPr="00CA6EA1" w:rsidRDefault="008F5DE1" w:rsidP="008F5DE1">
      <w:pPr>
        <w:pStyle w:val="TAL"/>
        <w:rPr>
          <w:rFonts w:ascii="Times New Roman" w:hAnsi="Times New Roman"/>
          <w:b/>
          <w:bCs/>
          <w:i/>
          <w:noProof/>
          <w:sz w:val="16"/>
          <w:szCs w:val="16"/>
          <w:lang w:eastAsia="en-GB"/>
        </w:rPr>
      </w:pPr>
      <w:r w:rsidRPr="00CA6EA1">
        <w:rPr>
          <w:rFonts w:ascii="Times New Roman" w:hAnsi="Times New Roman"/>
          <w:b/>
          <w:bCs/>
          <w:i/>
          <w:noProof/>
          <w:sz w:val="16"/>
          <w:szCs w:val="16"/>
          <w:lang w:eastAsia="en-GB"/>
        </w:rPr>
        <w:t>serviceId</w:t>
      </w:r>
    </w:p>
    <w:p w14:paraId="7A72F21E" w14:textId="77777777" w:rsidR="008F5DE1" w:rsidRPr="007143A9" w:rsidRDefault="008F5DE1" w:rsidP="008F5DE1">
      <w:pPr>
        <w:rPr>
          <w:lang w:val="en-GB" w:eastAsia="zh-CN"/>
        </w:rPr>
      </w:pPr>
      <w:r w:rsidRPr="00CA6EA1">
        <w:rPr>
          <w:rFonts w:ascii="Times New Roman" w:hAnsi="Times New Roman"/>
          <w:bCs/>
          <w:noProof/>
          <w:sz w:val="16"/>
          <w:szCs w:val="16"/>
          <w:lang w:eastAsia="en-GB"/>
        </w:rPr>
        <w:t>Uniquely identifies the identity of an MB</w:t>
      </w:r>
      <w:r>
        <w:rPr>
          <w:rFonts w:ascii="Times New Roman" w:hAnsi="Times New Roman"/>
          <w:bCs/>
          <w:noProof/>
          <w:sz w:val="16"/>
          <w:szCs w:val="16"/>
          <w:lang w:eastAsia="en-GB"/>
        </w:rPr>
        <w:t>S</w:t>
      </w:r>
      <w:r w:rsidRPr="00CA6EA1">
        <w:rPr>
          <w:rFonts w:ascii="Times New Roman" w:hAnsi="Times New Roman"/>
          <w:bCs/>
          <w:noProof/>
          <w:sz w:val="16"/>
          <w:szCs w:val="16"/>
          <w:lang w:eastAsia="en-GB"/>
        </w:rPr>
        <w:t xml:space="preserve"> service within a PLMN. The field contains octet 3- 5 of the IE Temporary Mobile Group Identity (TMGI) as defined in TS 24.008 [49]. The first octet contains the third octet of the TMGI, the second octet contains the fourth octet of the TMGI and so on.</w:t>
      </w:r>
    </w:p>
    <w:p w14:paraId="26BF649B" w14:textId="77777777" w:rsidR="008F5DE1" w:rsidRPr="00552ECB" w:rsidRDefault="008F5DE1" w:rsidP="008F5DE1">
      <w:pPr>
        <w:rPr>
          <w:lang w:val="en-GB" w:eastAsia="zh-CN"/>
        </w:rPr>
      </w:pPr>
      <w:r w:rsidRPr="00B43D45">
        <w:rPr>
          <w:b/>
          <w:bCs/>
          <w:lang w:val="en-GB" w:eastAsia="zh-CN"/>
        </w:rPr>
        <w:t xml:space="preserve">Proposal </w:t>
      </w:r>
      <w:r>
        <w:rPr>
          <w:b/>
          <w:bCs/>
          <w:lang w:val="en-GB" w:eastAsia="zh-CN"/>
        </w:rPr>
        <w:t>3</w:t>
      </w:r>
      <w:r>
        <w:rPr>
          <w:lang w:val="en-GB" w:eastAsia="zh-CN"/>
        </w:rPr>
        <w:t xml:space="preserve">: When the multicast MRB is established the TMGI is reported to the upper layers. </w:t>
      </w:r>
    </w:p>
    <w:p w14:paraId="5A15FD36" w14:textId="77777777" w:rsidR="009D725A" w:rsidRDefault="009D725A" w:rsidP="009D725A">
      <w:pPr>
        <w:pStyle w:val="Heading1"/>
        <w:rPr>
          <w:noProof/>
        </w:rPr>
      </w:pPr>
      <w:r>
        <w:rPr>
          <w:noProof/>
        </w:rPr>
        <w:t>References</w:t>
      </w:r>
      <w:bookmarkEnd w:id="6"/>
    </w:p>
    <w:p w14:paraId="30DCC51B" w14:textId="273417B1" w:rsidR="002D00B0" w:rsidRDefault="008F5DE1"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2D00B0">
          <w:rPr>
            <w:rStyle w:val="Hyperlink"/>
            <w:rFonts w:cs="Arial"/>
            <w:sz w:val="16"/>
            <w:szCs w:val="16"/>
            <w:lang w:val="de-DE"/>
          </w:rPr>
          <w:t>R2-2111244</w:t>
        </w:r>
      </w:hyperlink>
      <w:r w:rsidR="002D00B0">
        <w:rPr>
          <w:rFonts w:cs="Arial"/>
          <w:sz w:val="16"/>
          <w:szCs w:val="16"/>
          <w:lang w:val="de-DE"/>
        </w:rPr>
        <w:t xml:space="preserve">, </w:t>
      </w:r>
      <w:r w:rsidR="002D00B0" w:rsidRPr="002D00B0">
        <w:rPr>
          <w:rFonts w:cs="Arial"/>
          <w:i/>
          <w:iCs/>
          <w:sz w:val="16"/>
          <w:szCs w:val="16"/>
          <w:lang w:val="de-DE"/>
        </w:rPr>
        <w:t>Reply LS on MBS broadcast service continuity and MBS session identification</w:t>
      </w:r>
      <w:r w:rsidR="002D00B0">
        <w:rPr>
          <w:rFonts w:cs="Arial"/>
          <w:sz w:val="16"/>
          <w:szCs w:val="16"/>
          <w:lang w:val="de-DE"/>
        </w:rPr>
        <w:t>, LS in, RAN2</w:t>
      </w:r>
      <w:r w:rsidR="005723A0">
        <w:rPr>
          <w:rFonts w:cs="Arial"/>
          <w:sz w:val="16"/>
          <w:szCs w:val="16"/>
          <w:lang w:val="de-DE"/>
        </w:rPr>
        <w:t>#</w:t>
      </w:r>
      <w:r w:rsidR="002D00B0">
        <w:rPr>
          <w:rFonts w:cs="Arial"/>
          <w:sz w:val="16"/>
          <w:szCs w:val="16"/>
          <w:lang w:val="de-DE"/>
        </w:rPr>
        <w:t>116-e</w:t>
      </w:r>
    </w:p>
    <w:sectPr w:rsidR="002D00B0" w:rsidSect="001069A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15F4E"/>
    <w:multiLevelType w:val="hybridMultilevel"/>
    <w:tmpl w:val="755A5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B3A6C6C"/>
    <w:multiLevelType w:val="hybridMultilevel"/>
    <w:tmpl w:val="5B0079C6"/>
    <w:lvl w:ilvl="0" w:tplc="1CF0899A">
      <w:start w:val="1"/>
      <w:numFmt w:val="bullet"/>
      <w:lvlText w:val="›"/>
      <w:lvlJc w:val="left"/>
      <w:pPr>
        <w:tabs>
          <w:tab w:val="num" w:pos="720"/>
        </w:tabs>
        <w:ind w:left="720" w:hanging="360"/>
      </w:pPr>
      <w:rPr>
        <w:rFonts w:ascii="Ericsson Capital TT" w:hAnsi="Ericsson Capital TT" w:hint="default"/>
      </w:rPr>
    </w:lvl>
    <w:lvl w:ilvl="1" w:tplc="6AB64A9C" w:tentative="1">
      <w:start w:val="1"/>
      <w:numFmt w:val="bullet"/>
      <w:lvlText w:val="›"/>
      <w:lvlJc w:val="left"/>
      <w:pPr>
        <w:tabs>
          <w:tab w:val="num" w:pos="1440"/>
        </w:tabs>
        <w:ind w:left="1440" w:hanging="360"/>
      </w:pPr>
      <w:rPr>
        <w:rFonts w:ascii="Ericsson Capital TT" w:hAnsi="Ericsson Capital TT" w:hint="default"/>
      </w:rPr>
    </w:lvl>
    <w:lvl w:ilvl="2" w:tplc="98B6F65A">
      <w:start w:val="1"/>
      <w:numFmt w:val="bullet"/>
      <w:lvlText w:val="›"/>
      <w:lvlJc w:val="left"/>
      <w:pPr>
        <w:tabs>
          <w:tab w:val="num" w:pos="2160"/>
        </w:tabs>
        <w:ind w:left="2160" w:hanging="360"/>
      </w:pPr>
      <w:rPr>
        <w:rFonts w:ascii="Ericsson Capital TT" w:hAnsi="Ericsson Capital TT" w:hint="default"/>
      </w:rPr>
    </w:lvl>
    <w:lvl w:ilvl="3" w:tplc="8DF09F9E" w:tentative="1">
      <w:start w:val="1"/>
      <w:numFmt w:val="bullet"/>
      <w:lvlText w:val="›"/>
      <w:lvlJc w:val="left"/>
      <w:pPr>
        <w:tabs>
          <w:tab w:val="num" w:pos="2880"/>
        </w:tabs>
        <w:ind w:left="2880" w:hanging="360"/>
      </w:pPr>
      <w:rPr>
        <w:rFonts w:ascii="Ericsson Capital TT" w:hAnsi="Ericsson Capital TT" w:hint="default"/>
      </w:rPr>
    </w:lvl>
    <w:lvl w:ilvl="4" w:tplc="162E521C" w:tentative="1">
      <w:start w:val="1"/>
      <w:numFmt w:val="bullet"/>
      <w:lvlText w:val="›"/>
      <w:lvlJc w:val="left"/>
      <w:pPr>
        <w:tabs>
          <w:tab w:val="num" w:pos="3600"/>
        </w:tabs>
        <w:ind w:left="3600" w:hanging="360"/>
      </w:pPr>
      <w:rPr>
        <w:rFonts w:ascii="Ericsson Capital TT" w:hAnsi="Ericsson Capital TT" w:hint="default"/>
      </w:rPr>
    </w:lvl>
    <w:lvl w:ilvl="5" w:tplc="732A6B24" w:tentative="1">
      <w:start w:val="1"/>
      <w:numFmt w:val="bullet"/>
      <w:lvlText w:val="›"/>
      <w:lvlJc w:val="left"/>
      <w:pPr>
        <w:tabs>
          <w:tab w:val="num" w:pos="4320"/>
        </w:tabs>
        <w:ind w:left="4320" w:hanging="360"/>
      </w:pPr>
      <w:rPr>
        <w:rFonts w:ascii="Ericsson Capital TT" w:hAnsi="Ericsson Capital TT" w:hint="default"/>
      </w:rPr>
    </w:lvl>
    <w:lvl w:ilvl="6" w:tplc="CDAA7D86" w:tentative="1">
      <w:start w:val="1"/>
      <w:numFmt w:val="bullet"/>
      <w:lvlText w:val="›"/>
      <w:lvlJc w:val="left"/>
      <w:pPr>
        <w:tabs>
          <w:tab w:val="num" w:pos="5040"/>
        </w:tabs>
        <w:ind w:left="5040" w:hanging="360"/>
      </w:pPr>
      <w:rPr>
        <w:rFonts w:ascii="Ericsson Capital TT" w:hAnsi="Ericsson Capital TT" w:hint="default"/>
      </w:rPr>
    </w:lvl>
    <w:lvl w:ilvl="7" w:tplc="F4C60F50" w:tentative="1">
      <w:start w:val="1"/>
      <w:numFmt w:val="bullet"/>
      <w:lvlText w:val="›"/>
      <w:lvlJc w:val="left"/>
      <w:pPr>
        <w:tabs>
          <w:tab w:val="num" w:pos="5760"/>
        </w:tabs>
        <w:ind w:left="5760" w:hanging="360"/>
      </w:pPr>
      <w:rPr>
        <w:rFonts w:ascii="Ericsson Capital TT" w:hAnsi="Ericsson Capital TT" w:hint="default"/>
      </w:rPr>
    </w:lvl>
    <w:lvl w:ilvl="8" w:tplc="E6F49ED8" w:tentative="1">
      <w:start w:val="1"/>
      <w:numFmt w:val="bullet"/>
      <w:lvlText w:val="›"/>
      <w:lvlJc w:val="left"/>
      <w:pPr>
        <w:tabs>
          <w:tab w:val="num" w:pos="6480"/>
        </w:tabs>
        <w:ind w:left="6480" w:hanging="360"/>
      </w:pPr>
      <w:rPr>
        <w:rFonts w:ascii="Ericsson Capital TT" w:hAnsi="Ericsson Capital TT" w:hint="default"/>
      </w:rPr>
    </w:lvl>
  </w:abstractNum>
  <w:abstractNum w:abstractNumId="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436711C"/>
    <w:multiLevelType w:val="hybridMultilevel"/>
    <w:tmpl w:val="26E0E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CA15D2"/>
    <w:multiLevelType w:val="hybridMultilevel"/>
    <w:tmpl w:val="B7AE1658"/>
    <w:lvl w:ilvl="0" w:tplc="810E79AA">
      <w:start w:val="1"/>
      <w:numFmt w:val="bullet"/>
      <w:lvlText w:val="–"/>
      <w:lvlJc w:val="left"/>
      <w:pPr>
        <w:tabs>
          <w:tab w:val="num" w:pos="360"/>
        </w:tabs>
        <w:ind w:left="360" w:hanging="360"/>
      </w:pPr>
      <w:rPr>
        <w:rFonts w:ascii="Ericsson Capital TT" w:hAnsi="Ericsson Capital TT" w:hint="default"/>
      </w:rPr>
    </w:lvl>
    <w:lvl w:ilvl="1" w:tplc="F594F2E4">
      <w:start w:val="1"/>
      <w:numFmt w:val="bullet"/>
      <w:lvlText w:val="–"/>
      <w:lvlJc w:val="left"/>
      <w:pPr>
        <w:tabs>
          <w:tab w:val="num" w:pos="1080"/>
        </w:tabs>
        <w:ind w:left="1080" w:hanging="360"/>
      </w:pPr>
      <w:rPr>
        <w:rFonts w:ascii="Ericsson Capital TT" w:hAnsi="Ericsson Capital TT" w:hint="default"/>
      </w:rPr>
    </w:lvl>
    <w:lvl w:ilvl="2" w:tplc="D5BACCBC">
      <w:start w:val="1"/>
      <w:numFmt w:val="bullet"/>
      <w:lvlText w:val="–"/>
      <w:lvlJc w:val="left"/>
      <w:pPr>
        <w:tabs>
          <w:tab w:val="num" w:pos="1800"/>
        </w:tabs>
        <w:ind w:left="1800" w:hanging="360"/>
      </w:pPr>
      <w:rPr>
        <w:rFonts w:ascii="Ericsson Capital TT" w:hAnsi="Ericsson Capital TT" w:hint="default"/>
      </w:rPr>
    </w:lvl>
    <w:lvl w:ilvl="3" w:tplc="FC88A6C8" w:tentative="1">
      <w:start w:val="1"/>
      <w:numFmt w:val="bullet"/>
      <w:lvlText w:val="–"/>
      <w:lvlJc w:val="left"/>
      <w:pPr>
        <w:tabs>
          <w:tab w:val="num" w:pos="2520"/>
        </w:tabs>
        <w:ind w:left="2520" w:hanging="360"/>
      </w:pPr>
      <w:rPr>
        <w:rFonts w:ascii="Ericsson Capital TT" w:hAnsi="Ericsson Capital TT" w:hint="default"/>
      </w:rPr>
    </w:lvl>
    <w:lvl w:ilvl="4" w:tplc="ED2A2540" w:tentative="1">
      <w:start w:val="1"/>
      <w:numFmt w:val="bullet"/>
      <w:lvlText w:val="–"/>
      <w:lvlJc w:val="left"/>
      <w:pPr>
        <w:tabs>
          <w:tab w:val="num" w:pos="3240"/>
        </w:tabs>
        <w:ind w:left="3240" w:hanging="360"/>
      </w:pPr>
      <w:rPr>
        <w:rFonts w:ascii="Ericsson Capital TT" w:hAnsi="Ericsson Capital TT" w:hint="default"/>
      </w:rPr>
    </w:lvl>
    <w:lvl w:ilvl="5" w:tplc="5A92E4AA" w:tentative="1">
      <w:start w:val="1"/>
      <w:numFmt w:val="bullet"/>
      <w:lvlText w:val="–"/>
      <w:lvlJc w:val="left"/>
      <w:pPr>
        <w:tabs>
          <w:tab w:val="num" w:pos="3960"/>
        </w:tabs>
        <w:ind w:left="3960" w:hanging="360"/>
      </w:pPr>
      <w:rPr>
        <w:rFonts w:ascii="Ericsson Capital TT" w:hAnsi="Ericsson Capital TT" w:hint="default"/>
      </w:rPr>
    </w:lvl>
    <w:lvl w:ilvl="6" w:tplc="062ADF4E" w:tentative="1">
      <w:start w:val="1"/>
      <w:numFmt w:val="bullet"/>
      <w:lvlText w:val="–"/>
      <w:lvlJc w:val="left"/>
      <w:pPr>
        <w:tabs>
          <w:tab w:val="num" w:pos="4680"/>
        </w:tabs>
        <w:ind w:left="4680" w:hanging="360"/>
      </w:pPr>
      <w:rPr>
        <w:rFonts w:ascii="Ericsson Capital TT" w:hAnsi="Ericsson Capital TT" w:hint="default"/>
      </w:rPr>
    </w:lvl>
    <w:lvl w:ilvl="7" w:tplc="55809236" w:tentative="1">
      <w:start w:val="1"/>
      <w:numFmt w:val="bullet"/>
      <w:lvlText w:val="–"/>
      <w:lvlJc w:val="left"/>
      <w:pPr>
        <w:tabs>
          <w:tab w:val="num" w:pos="5400"/>
        </w:tabs>
        <w:ind w:left="5400" w:hanging="360"/>
      </w:pPr>
      <w:rPr>
        <w:rFonts w:ascii="Ericsson Capital TT" w:hAnsi="Ericsson Capital TT" w:hint="default"/>
      </w:rPr>
    </w:lvl>
    <w:lvl w:ilvl="8" w:tplc="9BCA3B5E" w:tentative="1">
      <w:start w:val="1"/>
      <w:numFmt w:val="bullet"/>
      <w:lvlText w:val="–"/>
      <w:lvlJc w:val="left"/>
      <w:pPr>
        <w:tabs>
          <w:tab w:val="num" w:pos="6120"/>
        </w:tabs>
        <w:ind w:left="6120" w:hanging="360"/>
      </w:pPr>
      <w:rPr>
        <w:rFonts w:ascii="Ericsson Capital TT" w:hAnsi="Ericsson Capital TT" w:hint="default"/>
      </w:rPr>
    </w:lvl>
  </w:abstractNum>
  <w:abstractNum w:abstractNumId="6" w15:restartNumberingAfterBreak="0">
    <w:nsid w:val="5AB47DD1"/>
    <w:multiLevelType w:val="hybridMultilevel"/>
    <w:tmpl w:val="03B2FDF0"/>
    <w:lvl w:ilvl="0" w:tplc="6BE479E6">
      <w:start w:val="1"/>
      <w:numFmt w:val="bullet"/>
      <w:lvlText w:val="›"/>
      <w:lvlJc w:val="left"/>
      <w:pPr>
        <w:tabs>
          <w:tab w:val="num" w:pos="720"/>
        </w:tabs>
        <w:ind w:left="720" w:hanging="360"/>
      </w:pPr>
      <w:rPr>
        <w:rFonts w:ascii="Ericsson Capital TT" w:hAnsi="Ericsson Capital TT" w:hint="default"/>
      </w:rPr>
    </w:lvl>
    <w:lvl w:ilvl="1" w:tplc="F2AEC72A" w:tentative="1">
      <w:start w:val="1"/>
      <w:numFmt w:val="bullet"/>
      <w:lvlText w:val="›"/>
      <w:lvlJc w:val="left"/>
      <w:pPr>
        <w:tabs>
          <w:tab w:val="num" w:pos="1440"/>
        </w:tabs>
        <w:ind w:left="1440" w:hanging="360"/>
      </w:pPr>
      <w:rPr>
        <w:rFonts w:ascii="Ericsson Capital TT" w:hAnsi="Ericsson Capital TT" w:hint="default"/>
      </w:rPr>
    </w:lvl>
    <w:lvl w:ilvl="2" w:tplc="42A2D62A">
      <w:start w:val="1"/>
      <w:numFmt w:val="bullet"/>
      <w:lvlText w:val="›"/>
      <w:lvlJc w:val="left"/>
      <w:pPr>
        <w:tabs>
          <w:tab w:val="num" w:pos="2160"/>
        </w:tabs>
        <w:ind w:left="2160" w:hanging="360"/>
      </w:pPr>
      <w:rPr>
        <w:rFonts w:ascii="Ericsson Capital TT" w:hAnsi="Ericsson Capital TT" w:hint="default"/>
      </w:rPr>
    </w:lvl>
    <w:lvl w:ilvl="3" w:tplc="82B4CAC2" w:tentative="1">
      <w:start w:val="1"/>
      <w:numFmt w:val="bullet"/>
      <w:lvlText w:val="›"/>
      <w:lvlJc w:val="left"/>
      <w:pPr>
        <w:tabs>
          <w:tab w:val="num" w:pos="2880"/>
        </w:tabs>
        <w:ind w:left="2880" w:hanging="360"/>
      </w:pPr>
      <w:rPr>
        <w:rFonts w:ascii="Ericsson Capital TT" w:hAnsi="Ericsson Capital TT" w:hint="default"/>
      </w:rPr>
    </w:lvl>
    <w:lvl w:ilvl="4" w:tplc="11CC00A8" w:tentative="1">
      <w:start w:val="1"/>
      <w:numFmt w:val="bullet"/>
      <w:lvlText w:val="›"/>
      <w:lvlJc w:val="left"/>
      <w:pPr>
        <w:tabs>
          <w:tab w:val="num" w:pos="3600"/>
        </w:tabs>
        <w:ind w:left="3600" w:hanging="360"/>
      </w:pPr>
      <w:rPr>
        <w:rFonts w:ascii="Ericsson Capital TT" w:hAnsi="Ericsson Capital TT" w:hint="default"/>
      </w:rPr>
    </w:lvl>
    <w:lvl w:ilvl="5" w:tplc="937A40E0" w:tentative="1">
      <w:start w:val="1"/>
      <w:numFmt w:val="bullet"/>
      <w:lvlText w:val="›"/>
      <w:lvlJc w:val="left"/>
      <w:pPr>
        <w:tabs>
          <w:tab w:val="num" w:pos="4320"/>
        </w:tabs>
        <w:ind w:left="4320" w:hanging="360"/>
      </w:pPr>
      <w:rPr>
        <w:rFonts w:ascii="Ericsson Capital TT" w:hAnsi="Ericsson Capital TT" w:hint="default"/>
      </w:rPr>
    </w:lvl>
    <w:lvl w:ilvl="6" w:tplc="52027282" w:tentative="1">
      <w:start w:val="1"/>
      <w:numFmt w:val="bullet"/>
      <w:lvlText w:val="›"/>
      <w:lvlJc w:val="left"/>
      <w:pPr>
        <w:tabs>
          <w:tab w:val="num" w:pos="5040"/>
        </w:tabs>
        <w:ind w:left="5040" w:hanging="360"/>
      </w:pPr>
      <w:rPr>
        <w:rFonts w:ascii="Ericsson Capital TT" w:hAnsi="Ericsson Capital TT" w:hint="default"/>
      </w:rPr>
    </w:lvl>
    <w:lvl w:ilvl="7" w:tplc="8654EC2E" w:tentative="1">
      <w:start w:val="1"/>
      <w:numFmt w:val="bullet"/>
      <w:lvlText w:val="›"/>
      <w:lvlJc w:val="left"/>
      <w:pPr>
        <w:tabs>
          <w:tab w:val="num" w:pos="5760"/>
        </w:tabs>
        <w:ind w:left="5760" w:hanging="360"/>
      </w:pPr>
      <w:rPr>
        <w:rFonts w:ascii="Ericsson Capital TT" w:hAnsi="Ericsson Capital TT" w:hint="default"/>
      </w:rPr>
    </w:lvl>
    <w:lvl w:ilvl="8" w:tplc="32F8D4BE"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5B8670AB"/>
    <w:multiLevelType w:val="hybridMultilevel"/>
    <w:tmpl w:val="53B6E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5F260BC8"/>
    <w:multiLevelType w:val="hybridMultilevel"/>
    <w:tmpl w:val="2EBEB46E"/>
    <w:lvl w:ilvl="0" w:tplc="7538566C">
      <w:start w:val="1"/>
      <w:numFmt w:val="bullet"/>
      <w:lvlText w:val="•"/>
      <w:lvlJc w:val="left"/>
      <w:pPr>
        <w:tabs>
          <w:tab w:val="num" w:pos="720"/>
        </w:tabs>
        <w:ind w:left="720" w:hanging="360"/>
      </w:pPr>
      <w:rPr>
        <w:rFonts w:ascii="SimSun" w:hAnsi="SimSun" w:hint="default"/>
      </w:rPr>
    </w:lvl>
    <w:lvl w:ilvl="1" w:tplc="D6343646" w:tentative="1">
      <w:start w:val="1"/>
      <w:numFmt w:val="bullet"/>
      <w:lvlText w:val="•"/>
      <w:lvlJc w:val="left"/>
      <w:pPr>
        <w:tabs>
          <w:tab w:val="num" w:pos="1440"/>
        </w:tabs>
        <w:ind w:left="1440" w:hanging="360"/>
      </w:pPr>
      <w:rPr>
        <w:rFonts w:ascii="SimSun" w:hAnsi="SimSun" w:hint="default"/>
      </w:rPr>
    </w:lvl>
    <w:lvl w:ilvl="2" w:tplc="89120CEA">
      <w:start w:val="1"/>
      <w:numFmt w:val="bullet"/>
      <w:lvlText w:val="•"/>
      <w:lvlJc w:val="left"/>
      <w:pPr>
        <w:tabs>
          <w:tab w:val="num" w:pos="2160"/>
        </w:tabs>
        <w:ind w:left="2160" w:hanging="360"/>
      </w:pPr>
      <w:rPr>
        <w:rFonts w:ascii="SimSun" w:hAnsi="SimSun" w:hint="default"/>
      </w:rPr>
    </w:lvl>
    <w:lvl w:ilvl="3" w:tplc="E5C2FDF4" w:tentative="1">
      <w:start w:val="1"/>
      <w:numFmt w:val="bullet"/>
      <w:lvlText w:val="•"/>
      <w:lvlJc w:val="left"/>
      <w:pPr>
        <w:tabs>
          <w:tab w:val="num" w:pos="2880"/>
        </w:tabs>
        <w:ind w:left="2880" w:hanging="360"/>
      </w:pPr>
      <w:rPr>
        <w:rFonts w:ascii="SimSun" w:hAnsi="SimSun" w:hint="default"/>
      </w:rPr>
    </w:lvl>
    <w:lvl w:ilvl="4" w:tplc="1C9864BC" w:tentative="1">
      <w:start w:val="1"/>
      <w:numFmt w:val="bullet"/>
      <w:lvlText w:val="•"/>
      <w:lvlJc w:val="left"/>
      <w:pPr>
        <w:tabs>
          <w:tab w:val="num" w:pos="3600"/>
        </w:tabs>
        <w:ind w:left="3600" w:hanging="360"/>
      </w:pPr>
      <w:rPr>
        <w:rFonts w:ascii="SimSun" w:hAnsi="SimSun" w:hint="default"/>
      </w:rPr>
    </w:lvl>
    <w:lvl w:ilvl="5" w:tplc="01E03566" w:tentative="1">
      <w:start w:val="1"/>
      <w:numFmt w:val="bullet"/>
      <w:lvlText w:val="•"/>
      <w:lvlJc w:val="left"/>
      <w:pPr>
        <w:tabs>
          <w:tab w:val="num" w:pos="4320"/>
        </w:tabs>
        <w:ind w:left="4320" w:hanging="360"/>
      </w:pPr>
      <w:rPr>
        <w:rFonts w:ascii="SimSun" w:hAnsi="SimSun" w:hint="default"/>
      </w:rPr>
    </w:lvl>
    <w:lvl w:ilvl="6" w:tplc="E7C4F0C2" w:tentative="1">
      <w:start w:val="1"/>
      <w:numFmt w:val="bullet"/>
      <w:lvlText w:val="•"/>
      <w:lvlJc w:val="left"/>
      <w:pPr>
        <w:tabs>
          <w:tab w:val="num" w:pos="5040"/>
        </w:tabs>
        <w:ind w:left="5040" w:hanging="360"/>
      </w:pPr>
      <w:rPr>
        <w:rFonts w:ascii="SimSun" w:hAnsi="SimSun" w:hint="default"/>
      </w:rPr>
    </w:lvl>
    <w:lvl w:ilvl="7" w:tplc="D528D81C" w:tentative="1">
      <w:start w:val="1"/>
      <w:numFmt w:val="bullet"/>
      <w:lvlText w:val="•"/>
      <w:lvlJc w:val="left"/>
      <w:pPr>
        <w:tabs>
          <w:tab w:val="num" w:pos="5760"/>
        </w:tabs>
        <w:ind w:left="5760" w:hanging="360"/>
      </w:pPr>
      <w:rPr>
        <w:rFonts w:ascii="SimSun" w:hAnsi="SimSun" w:hint="default"/>
      </w:rPr>
    </w:lvl>
    <w:lvl w:ilvl="8" w:tplc="329AAEDC" w:tentative="1">
      <w:start w:val="1"/>
      <w:numFmt w:val="bullet"/>
      <w:lvlText w:val="•"/>
      <w:lvlJc w:val="left"/>
      <w:pPr>
        <w:tabs>
          <w:tab w:val="num" w:pos="6480"/>
        </w:tabs>
        <w:ind w:left="6480" w:hanging="360"/>
      </w:pPr>
      <w:rPr>
        <w:rFonts w:ascii="SimSun" w:hAnsi="SimSun" w:hint="default"/>
      </w:rPr>
    </w:lvl>
  </w:abstractNum>
  <w:abstractNum w:abstractNumId="9" w15:restartNumberingAfterBreak="0">
    <w:nsid w:val="65B11064"/>
    <w:multiLevelType w:val="hybridMultilevel"/>
    <w:tmpl w:val="1D1035B2"/>
    <w:lvl w:ilvl="0" w:tplc="3D683F88">
      <w:start w:val="1"/>
      <w:numFmt w:val="bullet"/>
      <w:lvlText w:val="›"/>
      <w:lvlJc w:val="left"/>
      <w:pPr>
        <w:tabs>
          <w:tab w:val="num" w:pos="720"/>
        </w:tabs>
        <w:ind w:left="720" w:hanging="360"/>
      </w:pPr>
      <w:rPr>
        <w:rFonts w:ascii="Ericsson Capital TT" w:hAnsi="Ericsson Capital TT" w:hint="default"/>
      </w:rPr>
    </w:lvl>
    <w:lvl w:ilvl="1" w:tplc="B1802D88" w:tentative="1">
      <w:start w:val="1"/>
      <w:numFmt w:val="bullet"/>
      <w:lvlText w:val="›"/>
      <w:lvlJc w:val="left"/>
      <w:pPr>
        <w:tabs>
          <w:tab w:val="num" w:pos="1440"/>
        </w:tabs>
        <w:ind w:left="1440" w:hanging="360"/>
      </w:pPr>
      <w:rPr>
        <w:rFonts w:ascii="Ericsson Capital TT" w:hAnsi="Ericsson Capital TT" w:hint="default"/>
      </w:rPr>
    </w:lvl>
    <w:lvl w:ilvl="2" w:tplc="2D6AA3C6">
      <w:start w:val="1"/>
      <w:numFmt w:val="bullet"/>
      <w:lvlText w:val="›"/>
      <w:lvlJc w:val="left"/>
      <w:pPr>
        <w:tabs>
          <w:tab w:val="num" w:pos="2160"/>
        </w:tabs>
        <w:ind w:left="2160" w:hanging="360"/>
      </w:pPr>
      <w:rPr>
        <w:rFonts w:ascii="Ericsson Capital TT" w:hAnsi="Ericsson Capital TT" w:hint="default"/>
      </w:rPr>
    </w:lvl>
    <w:lvl w:ilvl="3" w:tplc="95AEA90E" w:tentative="1">
      <w:start w:val="1"/>
      <w:numFmt w:val="bullet"/>
      <w:lvlText w:val="›"/>
      <w:lvlJc w:val="left"/>
      <w:pPr>
        <w:tabs>
          <w:tab w:val="num" w:pos="2880"/>
        </w:tabs>
        <w:ind w:left="2880" w:hanging="360"/>
      </w:pPr>
      <w:rPr>
        <w:rFonts w:ascii="Ericsson Capital TT" w:hAnsi="Ericsson Capital TT" w:hint="default"/>
      </w:rPr>
    </w:lvl>
    <w:lvl w:ilvl="4" w:tplc="E996BAB6" w:tentative="1">
      <w:start w:val="1"/>
      <w:numFmt w:val="bullet"/>
      <w:lvlText w:val="›"/>
      <w:lvlJc w:val="left"/>
      <w:pPr>
        <w:tabs>
          <w:tab w:val="num" w:pos="3600"/>
        </w:tabs>
        <w:ind w:left="3600" w:hanging="360"/>
      </w:pPr>
      <w:rPr>
        <w:rFonts w:ascii="Ericsson Capital TT" w:hAnsi="Ericsson Capital TT" w:hint="default"/>
      </w:rPr>
    </w:lvl>
    <w:lvl w:ilvl="5" w:tplc="8D92B51C" w:tentative="1">
      <w:start w:val="1"/>
      <w:numFmt w:val="bullet"/>
      <w:lvlText w:val="›"/>
      <w:lvlJc w:val="left"/>
      <w:pPr>
        <w:tabs>
          <w:tab w:val="num" w:pos="4320"/>
        </w:tabs>
        <w:ind w:left="4320" w:hanging="360"/>
      </w:pPr>
      <w:rPr>
        <w:rFonts w:ascii="Ericsson Capital TT" w:hAnsi="Ericsson Capital TT" w:hint="default"/>
      </w:rPr>
    </w:lvl>
    <w:lvl w:ilvl="6" w:tplc="6DB076CA" w:tentative="1">
      <w:start w:val="1"/>
      <w:numFmt w:val="bullet"/>
      <w:lvlText w:val="›"/>
      <w:lvlJc w:val="left"/>
      <w:pPr>
        <w:tabs>
          <w:tab w:val="num" w:pos="5040"/>
        </w:tabs>
        <w:ind w:left="5040" w:hanging="360"/>
      </w:pPr>
      <w:rPr>
        <w:rFonts w:ascii="Ericsson Capital TT" w:hAnsi="Ericsson Capital TT" w:hint="default"/>
      </w:rPr>
    </w:lvl>
    <w:lvl w:ilvl="7" w:tplc="B622D4FC" w:tentative="1">
      <w:start w:val="1"/>
      <w:numFmt w:val="bullet"/>
      <w:lvlText w:val="›"/>
      <w:lvlJc w:val="left"/>
      <w:pPr>
        <w:tabs>
          <w:tab w:val="num" w:pos="5760"/>
        </w:tabs>
        <w:ind w:left="5760" w:hanging="360"/>
      </w:pPr>
      <w:rPr>
        <w:rFonts w:ascii="Ericsson Capital TT" w:hAnsi="Ericsson Capital TT" w:hint="default"/>
      </w:rPr>
    </w:lvl>
    <w:lvl w:ilvl="8" w:tplc="58646DE0"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68D9293D"/>
    <w:multiLevelType w:val="hybridMultilevel"/>
    <w:tmpl w:val="79A05F04"/>
    <w:lvl w:ilvl="0" w:tplc="9ED4C780">
      <w:start w:val="1"/>
      <w:numFmt w:val="bullet"/>
      <w:lvlText w:val="›"/>
      <w:lvlJc w:val="left"/>
      <w:pPr>
        <w:tabs>
          <w:tab w:val="num" w:pos="720"/>
        </w:tabs>
        <w:ind w:left="720" w:hanging="360"/>
      </w:pPr>
      <w:rPr>
        <w:rFonts w:ascii="Arial" w:hAnsi="Arial" w:hint="default"/>
      </w:rPr>
    </w:lvl>
    <w:lvl w:ilvl="1" w:tplc="0928B75A">
      <w:numFmt w:val="bullet"/>
      <w:lvlText w:val="–"/>
      <w:lvlJc w:val="left"/>
      <w:pPr>
        <w:tabs>
          <w:tab w:val="num" w:pos="1440"/>
        </w:tabs>
        <w:ind w:left="1440" w:hanging="360"/>
      </w:pPr>
      <w:rPr>
        <w:rFonts w:ascii="Ericsson Capital TT" w:hAnsi="Ericsson Capital TT" w:hint="default"/>
      </w:rPr>
    </w:lvl>
    <w:lvl w:ilvl="2" w:tplc="AB9C2C44" w:tentative="1">
      <w:start w:val="1"/>
      <w:numFmt w:val="bullet"/>
      <w:lvlText w:val="›"/>
      <w:lvlJc w:val="left"/>
      <w:pPr>
        <w:tabs>
          <w:tab w:val="num" w:pos="2160"/>
        </w:tabs>
        <w:ind w:left="2160" w:hanging="360"/>
      </w:pPr>
      <w:rPr>
        <w:rFonts w:ascii="Arial" w:hAnsi="Arial" w:hint="default"/>
      </w:rPr>
    </w:lvl>
    <w:lvl w:ilvl="3" w:tplc="9DC63700" w:tentative="1">
      <w:start w:val="1"/>
      <w:numFmt w:val="bullet"/>
      <w:lvlText w:val="›"/>
      <w:lvlJc w:val="left"/>
      <w:pPr>
        <w:tabs>
          <w:tab w:val="num" w:pos="2880"/>
        </w:tabs>
        <w:ind w:left="2880" w:hanging="360"/>
      </w:pPr>
      <w:rPr>
        <w:rFonts w:ascii="Arial" w:hAnsi="Arial" w:hint="default"/>
      </w:rPr>
    </w:lvl>
    <w:lvl w:ilvl="4" w:tplc="84D09136" w:tentative="1">
      <w:start w:val="1"/>
      <w:numFmt w:val="bullet"/>
      <w:lvlText w:val="›"/>
      <w:lvlJc w:val="left"/>
      <w:pPr>
        <w:tabs>
          <w:tab w:val="num" w:pos="3600"/>
        </w:tabs>
        <w:ind w:left="3600" w:hanging="360"/>
      </w:pPr>
      <w:rPr>
        <w:rFonts w:ascii="Arial" w:hAnsi="Arial" w:hint="default"/>
      </w:rPr>
    </w:lvl>
    <w:lvl w:ilvl="5" w:tplc="462A293A" w:tentative="1">
      <w:start w:val="1"/>
      <w:numFmt w:val="bullet"/>
      <w:lvlText w:val="›"/>
      <w:lvlJc w:val="left"/>
      <w:pPr>
        <w:tabs>
          <w:tab w:val="num" w:pos="4320"/>
        </w:tabs>
        <w:ind w:left="4320" w:hanging="360"/>
      </w:pPr>
      <w:rPr>
        <w:rFonts w:ascii="Arial" w:hAnsi="Arial" w:hint="default"/>
      </w:rPr>
    </w:lvl>
    <w:lvl w:ilvl="6" w:tplc="0F3E2F98" w:tentative="1">
      <w:start w:val="1"/>
      <w:numFmt w:val="bullet"/>
      <w:lvlText w:val="›"/>
      <w:lvlJc w:val="left"/>
      <w:pPr>
        <w:tabs>
          <w:tab w:val="num" w:pos="5040"/>
        </w:tabs>
        <w:ind w:left="5040" w:hanging="360"/>
      </w:pPr>
      <w:rPr>
        <w:rFonts w:ascii="Arial" w:hAnsi="Arial" w:hint="default"/>
      </w:rPr>
    </w:lvl>
    <w:lvl w:ilvl="7" w:tplc="51106BFA" w:tentative="1">
      <w:start w:val="1"/>
      <w:numFmt w:val="bullet"/>
      <w:lvlText w:val="›"/>
      <w:lvlJc w:val="left"/>
      <w:pPr>
        <w:tabs>
          <w:tab w:val="num" w:pos="5760"/>
        </w:tabs>
        <w:ind w:left="5760" w:hanging="360"/>
      </w:pPr>
      <w:rPr>
        <w:rFonts w:ascii="Arial" w:hAnsi="Arial" w:hint="default"/>
      </w:rPr>
    </w:lvl>
    <w:lvl w:ilvl="8" w:tplc="DD5251E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EA50C60"/>
    <w:multiLevelType w:val="hybridMultilevel"/>
    <w:tmpl w:val="FAD4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6EAC15F7"/>
    <w:multiLevelType w:val="hybridMultilevel"/>
    <w:tmpl w:val="97449F9A"/>
    <w:lvl w:ilvl="0" w:tplc="734E04B8">
      <w:start w:val="1"/>
      <w:numFmt w:val="bullet"/>
      <w:lvlText w:val="›"/>
      <w:lvlJc w:val="left"/>
      <w:pPr>
        <w:tabs>
          <w:tab w:val="num" w:pos="720"/>
        </w:tabs>
        <w:ind w:left="720" w:hanging="360"/>
      </w:pPr>
      <w:rPr>
        <w:rFonts w:ascii="Ericsson Capital TT" w:hAnsi="Ericsson Capital TT" w:hint="default"/>
      </w:rPr>
    </w:lvl>
    <w:lvl w:ilvl="1" w:tplc="578AD14E">
      <w:numFmt w:val="bullet"/>
      <w:lvlText w:val="–"/>
      <w:lvlJc w:val="left"/>
      <w:pPr>
        <w:tabs>
          <w:tab w:val="num" w:pos="1440"/>
        </w:tabs>
        <w:ind w:left="1440" w:hanging="360"/>
      </w:pPr>
      <w:rPr>
        <w:rFonts w:ascii="Ericsson Capital TT" w:hAnsi="Ericsson Capital TT" w:hint="default"/>
      </w:rPr>
    </w:lvl>
    <w:lvl w:ilvl="2" w:tplc="44DC3DBA">
      <w:start w:val="1"/>
      <w:numFmt w:val="bullet"/>
      <w:lvlText w:val="›"/>
      <w:lvlJc w:val="left"/>
      <w:pPr>
        <w:tabs>
          <w:tab w:val="num" w:pos="2160"/>
        </w:tabs>
        <w:ind w:left="2160" w:hanging="360"/>
      </w:pPr>
      <w:rPr>
        <w:rFonts w:ascii="Ericsson Capital TT" w:hAnsi="Ericsson Capital TT" w:hint="default"/>
      </w:rPr>
    </w:lvl>
    <w:lvl w:ilvl="3" w:tplc="85A0BD58" w:tentative="1">
      <w:start w:val="1"/>
      <w:numFmt w:val="bullet"/>
      <w:lvlText w:val="›"/>
      <w:lvlJc w:val="left"/>
      <w:pPr>
        <w:tabs>
          <w:tab w:val="num" w:pos="2880"/>
        </w:tabs>
        <w:ind w:left="2880" w:hanging="360"/>
      </w:pPr>
      <w:rPr>
        <w:rFonts w:ascii="Ericsson Capital TT" w:hAnsi="Ericsson Capital TT" w:hint="default"/>
      </w:rPr>
    </w:lvl>
    <w:lvl w:ilvl="4" w:tplc="53CE77FA" w:tentative="1">
      <w:start w:val="1"/>
      <w:numFmt w:val="bullet"/>
      <w:lvlText w:val="›"/>
      <w:lvlJc w:val="left"/>
      <w:pPr>
        <w:tabs>
          <w:tab w:val="num" w:pos="3600"/>
        </w:tabs>
        <w:ind w:left="3600" w:hanging="360"/>
      </w:pPr>
      <w:rPr>
        <w:rFonts w:ascii="Ericsson Capital TT" w:hAnsi="Ericsson Capital TT" w:hint="default"/>
      </w:rPr>
    </w:lvl>
    <w:lvl w:ilvl="5" w:tplc="27A0A0B6" w:tentative="1">
      <w:start w:val="1"/>
      <w:numFmt w:val="bullet"/>
      <w:lvlText w:val="›"/>
      <w:lvlJc w:val="left"/>
      <w:pPr>
        <w:tabs>
          <w:tab w:val="num" w:pos="4320"/>
        </w:tabs>
        <w:ind w:left="4320" w:hanging="360"/>
      </w:pPr>
      <w:rPr>
        <w:rFonts w:ascii="Ericsson Capital TT" w:hAnsi="Ericsson Capital TT" w:hint="default"/>
      </w:rPr>
    </w:lvl>
    <w:lvl w:ilvl="6" w:tplc="E1F073C4" w:tentative="1">
      <w:start w:val="1"/>
      <w:numFmt w:val="bullet"/>
      <w:lvlText w:val="›"/>
      <w:lvlJc w:val="left"/>
      <w:pPr>
        <w:tabs>
          <w:tab w:val="num" w:pos="5040"/>
        </w:tabs>
        <w:ind w:left="5040" w:hanging="360"/>
      </w:pPr>
      <w:rPr>
        <w:rFonts w:ascii="Ericsson Capital TT" w:hAnsi="Ericsson Capital TT" w:hint="default"/>
      </w:rPr>
    </w:lvl>
    <w:lvl w:ilvl="7" w:tplc="B1B02476" w:tentative="1">
      <w:start w:val="1"/>
      <w:numFmt w:val="bullet"/>
      <w:lvlText w:val="›"/>
      <w:lvlJc w:val="left"/>
      <w:pPr>
        <w:tabs>
          <w:tab w:val="num" w:pos="5760"/>
        </w:tabs>
        <w:ind w:left="5760" w:hanging="360"/>
      </w:pPr>
      <w:rPr>
        <w:rFonts w:ascii="Ericsson Capital TT" w:hAnsi="Ericsson Capital TT" w:hint="default"/>
      </w:rPr>
    </w:lvl>
    <w:lvl w:ilvl="8" w:tplc="319C8882"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15374A"/>
    <w:multiLevelType w:val="hybridMultilevel"/>
    <w:tmpl w:val="B14A09D6"/>
    <w:lvl w:ilvl="0" w:tplc="9CE2FDBA">
      <w:start w:val="1"/>
      <w:numFmt w:val="bullet"/>
      <w:lvlText w:val="›"/>
      <w:lvlJc w:val="left"/>
      <w:pPr>
        <w:tabs>
          <w:tab w:val="num" w:pos="720"/>
        </w:tabs>
        <w:ind w:left="720" w:hanging="360"/>
      </w:pPr>
      <w:rPr>
        <w:rFonts w:ascii="Ericsson Capital TT" w:hAnsi="Ericsson Capital TT" w:hint="default"/>
      </w:rPr>
    </w:lvl>
    <w:lvl w:ilvl="1" w:tplc="728AA7DA" w:tentative="1">
      <w:start w:val="1"/>
      <w:numFmt w:val="bullet"/>
      <w:lvlText w:val="›"/>
      <w:lvlJc w:val="left"/>
      <w:pPr>
        <w:tabs>
          <w:tab w:val="num" w:pos="1440"/>
        </w:tabs>
        <w:ind w:left="1440" w:hanging="360"/>
      </w:pPr>
      <w:rPr>
        <w:rFonts w:ascii="Ericsson Capital TT" w:hAnsi="Ericsson Capital TT" w:hint="default"/>
      </w:rPr>
    </w:lvl>
    <w:lvl w:ilvl="2" w:tplc="CE5067F2">
      <w:start w:val="1"/>
      <w:numFmt w:val="bullet"/>
      <w:lvlText w:val="›"/>
      <w:lvlJc w:val="left"/>
      <w:pPr>
        <w:tabs>
          <w:tab w:val="num" w:pos="2160"/>
        </w:tabs>
        <w:ind w:left="2160" w:hanging="360"/>
      </w:pPr>
      <w:rPr>
        <w:rFonts w:ascii="Ericsson Capital TT" w:hAnsi="Ericsson Capital TT" w:hint="default"/>
      </w:rPr>
    </w:lvl>
    <w:lvl w:ilvl="3" w:tplc="072C97EE" w:tentative="1">
      <w:start w:val="1"/>
      <w:numFmt w:val="bullet"/>
      <w:lvlText w:val="›"/>
      <w:lvlJc w:val="left"/>
      <w:pPr>
        <w:tabs>
          <w:tab w:val="num" w:pos="2880"/>
        </w:tabs>
        <w:ind w:left="2880" w:hanging="360"/>
      </w:pPr>
      <w:rPr>
        <w:rFonts w:ascii="Ericsson Capital TT" w:hAnsi="Ericsson Capital TT" w:hint="default"/>
      </w:rPr>
    </w:lvl>
    <w:lvl w:ilvl="4" w:tplc="305EE8A8" w:tentative="1">
      <w:start w:val="1"/>
      <w:numFmt w:val="bullet"/>
      <w:lvlText w:val="›"/>
      <w:lvlJc w:val="left"/>
      <w:pPr>
        <w:tabs>
          <w:tab w:val="num" w:pos="3600"/>
        </w:tabs>
        <w:ind w:left="3600" w:hanging="360"/>
      </w:pPr>
      <w:rPr>
        <w:rFonts w:ascii="Ericsson Capital TT" w:hAnsi="Ericsson Capital TT" w:hint="default"/>
      </w:rPr>
    </w:lvl>
    <w:lvl w:ilvl="5" w:tplc="153881F2" w:tentative="1">
      <w:start w:val="1"/>
      <w:numFmt w:val="bullet"/>
      <w:lvlText w:val="›"/>
      <w:lvlJc w:val="left"/>
      <w:pPr>
        <w:tabs>
          <w:tab w:val="num" w:pos="4320"/>
        </w:tabs>
        <w:ind w:left="4320" w:hanging="360"/>
      </w:pPr>
      <w:rPr>
        <w:rFonts w:ascii="Ericsson Capital TT" w:hAnsi="Ericsson Capital TT" w:hint="default"/>
      </w:rPr>
    </w:lvl>
    <w:lvl w:ilvl="6" w:tplc="85EC3F0C" w:tentative="1">
      <w:start w:val="1"/>
      <w:numFmt w:val="bullet"/>
      <w:lvlText w:val="›"/>
      <w:lvlJc w:val="left"/>
      <w:pPr>
        <w:tabs>
          <w:tab w:val="num" w:pos="5040"/>
        </w:tabs>
        <w:ind w:left="5040" w:hanging="360"/>
      </w:pPr>
      <w:rPr>
        <w:rFonts w:ascii="Ericsson Capital TT" w:hAnsi="Ericsson Capital TT" w:hint="default"/>
      </w:rPr>
    </w:lvl>
    <w:lvl w:ilvl="7" w:tplc="FEF82A3A" w:tentative="1">
      <w:start w:val="1"/>
      <w:numFmt w:val="bullet"/>
      <w:lvlText w:val="›"/>
      <w:lvlJc w:val="left"/>
      <w:pPr>
        <w:tabs>
          <w:tab w:val="num" w:pos="5760"/>
        </w:tabs>
        <w:ind w:left="5760" w:hanging="360"/>
      </w:pPr>
      <w:rPr>
        <w:rFonts w:ascii="Ericsson Capital TT" w:hAnsi="Ericsson Capital TT" w:hint="default"/>
      </w:rPr>
    </w:lvl>
    <w:lvl w:ilvl="8" w:tplc="5A804AF8" w:tentative="1">
      <w:start w:val="1"/>
      <w:numFmt w:val="bullet"/>
      <w:lvlText w:val="›"/>
      <w:lvlJc w:val="left"/>
      <w:pPr>
        <w:tabs>
          <w:tab w:val="num" w:pos="6480"/>
        </w:tabs>
        <w:ind w:left="6480" w:hanging="360"/>
      </w:pPr>
      <w:rPr>
        <w:rFonts w:ascii="Ericsson Capital TT" w:hAnsi="Ericsson Capital TT" w:hint="default"/>
      </w:rPr>
    </w:lvl>
  </w:abstractNum>
  <w:num w:numId="1">
    <w:abstractNumId w:val="1"/>
  </w:num>
  <w:num w:numId="2">
    <w:abstractNumId w:val="3"/>
  </w:num>
  <w:num w:numId="3">
    <w:abstractNumId w:val="5"/>
  </w:num>
  <w:num w:numId="4">
    <w:abstractNumId w:val="8"/>
  </w:num>
  <w:num w:numId="5">
    <w:abstractNumId w:val="13"/>
  </w:num>
  <w:num w:numId="6">
    <w:abstractNumId w:val="7"/>
  </w:num>
  <w:num w:numId="7">
    <w:abstractNumId w:val="11"/>
  </w:num>
  <w:num w:numId="8">
    <w:abstractNumId w:val="14"/>
  </w:num>
  <w:num w:numId="9">
    <w:abstractNumId w:val="12"/>
  </w:num>
  <w:num w:numId="10">
    <w:abstractNumId w:val="7"/>
  </w:num>
  <w:num w:numId="11">
    <w:abstractNumId w:val="4"/>
  </w:num>
  <w:num w:numId="12">
    <w:abstractNumId w:val="0"/>
  </w:num>
  <w:num w:numId="13">
    <w:abstractNumId w:val="9"/>
  </w:num>
  <w:num w:numId="14">
    <w:abstractNumId w:val="2"/>
  </w:num>
  <w:num w:numId="15">
    <w:abstractNumId w:val="6"/>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hdrShapeDefaults>
    <o:shapedefaults v:ext="edit" spidmax="7372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821"/>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09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12D2"/>
    <w:rsid w:val="0009603A"/>
    <w:rsid w:val="000A20E0"/>
    <w:rsid w:val="000A360E"/>
    <w:rsid w:val="000A7088"/>
    <w:rsid w:val="000A7177"/>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4C3C"/>
    <w:rsid w:val="00116F90"/>
    <w:rsid w:val="00116FEC"/>
    <w:rsid w:val="00120851"/>
    <w:rsid w:val="00120D47"/>
    <w:rsid w:val="00122AD2"/>
    <w:rsid w:val="00127D2C"/>
    <w:rsid w:val="001308CD"/>
    <w:rsid w:val="00130F86"/>
    <w:rsid w:val="00131237"/>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76D0"/>
    <w:rsid w:val="00164767"/>
    <w:rsid w:val="001648FB"/>
    <w:rsid w:val="001659F2"/>
    <w:rsid w:val="00172C20"/>
    <w:rsid w:val="001820E2"/>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C7DF4"/>
    <w:rsid w:val="001D01C0"/>
    <w:rsid w:val="001D03D5"/>
    <w:rsid w:val="001D5744"/>
    <w:rsid w:val="001D5EC7"/>
    <w:rsid w:val="001E6A9C"/>
    <w:rsid w:val="001F13E9"/>
    <w:rsid w:val="001F5CA1"/>
    <w:rsid w:val="00200D18"/>
    <w:rsid w:val="002013B3"/>
    <w:rsid w:val="00205751"/>
    <w:rsid w:val="002114D0"/>
    <w:rsid w:val="00211629"/>
    <w:rsid w:val="00212767"/>
    <w:rsid w:val="002129BC"/>
    <w:rsid w:val="00215AB2"/>
    <w:rsid w:val="00216DD6"/>
    <w:rsid w:val="00217ECC"/>
    <w:rsid w:val="00225E2B"/>
    <w:rsid w:val="00226C55"/>
    <w:rsid w:val="002317E5"/>
    <w:rsid w:val="0023429F"/>
    <w:rsid w:val="002351BB"/>
    <w:rsid w:val="00235DB1"/>
    <w:rsid w:val="00236881"/>
    <w:rsid w:val="00237DA0"/>
    <w:rsid w:val="00241371"/>
    <w:rsid w:val="00241971"/>
    <w:rsid w:val="00244267"/>
    <w:rsid w:val="002500A8"/>
    <w:rsid w:val="00250587"/>
    <w:rsid w:val="00257273"/>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08B"/>
    <w:rsid w:val="002A2E7B"/>
    <w:rsid w:val="002A70F0"/>
    <w:rsid w:val="002B026C"/>
    <w:rsid w:val="002B1EE7"/>
    <w:rsid w:val="002C1EF6"/>
    <w:rsid w:val="002C4082"/>
    <w:rsid w:val="002C6AEE"/>
    <w:rsid w:val="002D00B0"/>
    <w:rsid w:val="002E0414"/>
    <w:rsid w:val="002E083F"/>
    <w:rsid w:val="002E1A79"/>
    <w:rsid w:val="002E3D35"/>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0CE8"/>
    <w:rsid w:val="00361092"/>
    <w:rsid w:val="003730EF"/>
    <w:rsid w:val="0037552C"/>
    <w:rsid w:val="0037629E"/>
    <w:rsid w:val="0037719E"/>
    <w:rsid w:val="00383177"/>
    <w:rsid w:val="00385ECD"/>
    <w:rsid w:val="00387975"/>
    <w:rsid w:val="00393247"/>
    <w:rsid w:val="00395015"/>
    <w:rsid w:val="00396828"/>
    <w:rsid w:val="003A5C51"/>
    <w:rsid w:val="003A6163"/>
    <w:rsid w:val="003B5CD6"/>
    <w:rsid w:val="003C1556"/>
    <w:rsid w:val="003C1C5D"/>
    <w:rsid w:val="003C50C2"/>
    <w:rsid w:val="003D09AA"/>
    <w:rsid w:val="003D49F3"/>
    <w:rsid w:val="003D4F3F"/>
    <w:rsid w:val="003D7733"/>
    <w:rsid w:val="003E7AF9"/>
    <w:rsid w:val="003F1487"/>
    <w:rsid w:val="003F1522"/>
    <w:rsid w:val="003F191A"/>
    <w:rsid w:val="003F1E51"/>
    <w:rsid w:val="003F2284"/>
    <w:rsid w:val="003F30D6"/>
    <w:rsid w:val="003F697E"/>
    <w:rsid w:val="003F7F9E"/>
    <w:rsid w:val="00401136"/>
    <w:rsid w:val="00403769"/>
    <w:rsid w:val="00404F83"/>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46A8"/>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5A3"/>
    <w:rsid w:val="004E26A8"/>
    <w:rsid w:val="004E2910"/>
    <w:rsid w:val="004E4674"/>
    <w:rsid w:val="004E548A"/>
    <w:rsid w:val="004F149C"/>
    <w:rsid w:val="004F4854"/>
    <w:rsid w:val="004F6067"/>
    <w:rsid w:val="004F62E1"/>
    <w:rsid w:val="0050109B"/>
    <w:rsid w:val="0050273A"/>
    <w:rsid w:val="00503CF0"/>
    <w:rsid w:val="00504008"/>
    <w:rsid w:val="00505AC7"/>
    <w:rsid w:val="005073E2"/>
    <w:rsid w:val="00510DAC"/>
    <w:rsid w:val="00513A0A"/>
    <w:rsid w:val="00514C2F"/>
    <w:rsid w:val="00516650"/>
    <w:rsid w:val="0051782B"/>
    <w:rsid w:val="00517B15"/>
    <w:rsid w:val="0052219A"/>
    <w:rsid w:val="0052242F"/>
    <w:rsid w:val="00522CAB"/>
    <w:rsid w:val="005241C8"/>
    <w:rsid w:val="0052581A"/>
    <w:rsid w:val="00532DB1"/>
    <w:rsid w:val="00542513"/>
    <w:rsid w:val="005433FA"/>
    <w:rsid w:val="00545B4A"/>
    <w:rsid w:val="00545B6C"/>
    <w:rsid w:val="00547521"/>
    <w:rsid w:val="00552732"/>
    <w:rsid w:val="00552ECB"/>
    <w:rsid w:val="00555E44"/>
    <w:rsid w:val="005575FA"/>
    <w:rsid w:val="00560550"/>
    <w:rsid w:val="00564D25"/>
    <w:rsid w:val="00566CF0"/>
    <w:rsid w:val="005723A0"/>
    <w:rsid w:val="0057505D"/>
    <w:rsid w:val="005754B0"/>
    <w:rsid w:val="00575E8D"/>
    <w:rsid w:val="00583C42"/>
    <w:rsid w:val="00585607"/>
    <w:rsid w:val="00591D77"/>
    <w:rsid w:val="00592B5F"/>
    <w:rsid w:val="00593BA2"/>
    <w:rsid w:val="00594CE5"/>
    <w:rsid w:val="005950C4"/>
    <w:rsid w:val="005A10D4"/>
    <w:rsid w:val="005A4001"/>
    <w:rsid w:val="005B0E5B"/>
    <w:rsid w:val="005B4B64"/>
    <w:rsid w:val="005B7E9E"/>
    <w:rsid w:val="005C16D8"/>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1F82"/>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6F09"/>
    <w:rsid w:val="006C7C34"/>
    <w:rsid w:val="006D1149"/>
    <w:rsid w:val="006D151A"/>
    <w:rsid w:val="006D1813"/>
    <w:rsid w:val="006D5962"/>
    <w:rsid w:val="006E27D1"/>
    <w:rsid w:val="006E5B76"/>
    <w:rsid w:val="006E7D43"/>
    <w:rsid w:val="006F2424"/>
    <w:rsid w:val="006F2930"/>
    <w:rsid w:val="006F30A0"/>
    <w:rsid w:val="0070422F"/>
    <w:rsid w:val="00704408"/>
    <w:rsid w:val="007045A8"/>
    <w:rsid w:val="00710D71"/>
    <w:rsid w:val="00712CDD"/>
    <w:rsid w:val="00712DC4"/>
    <w:rsid w:val="007137B1"/>
    <w:rsid w:val="007143A9"/>
    <w:rsid w:val="0071555E"/>
    <w:rsid w:val="00717D75"/>
    <w:rsid w:val="007215C8"/>
    <w:rsid w:val="00725A44"/>
    <w:rsid w:val="00726603"/>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0C0B"/>
    <w:rsid w:val="00782D8E"/>
    <w:rsid w:val="007837C7"/>
    <w:rsid w:val="007857F6"/>
    <w:rsid w:val="00787E14"/>
    <w:rsid w:val="0079708B"/>
    <w:rsid w:val="00797CEE"/>
    <w:rsid w:val="007A7AB2"/>
    <w:rsid w:val="007B149C"/>
    <w:rsid w:val="007B23E4"/>
    <w:rsid w:val="007C0B18"/>
    <w:rsid w:val="007C2254"/>
    <w:rsid w:val="007C2EF2"/>
    <w:rsid w:val="007C3BC8"/>
    <w:rsid w:val="007C3FC8"/>
    <w:rsid w:val="007C4779"/>
    <w:rsid w:val="007C51DD"/>
    <w:rsid w:val="007C52AF"/>
    <w:rsid w:val="007E0428"/>
    <w:rsid w:val="007E0620"/>
    <w:rsid w:val="007E063A"/>
    <w:rsid w:val="007E0821"/>
    <w:rsid w:val="007E264A"/>
    <w:rsid w:val="007E2E1A"/>
    <w:rsid w:val="007E4883"/>
    <w:rsid w:val="007F1CC7"/>
    <w:rsid w:val="007F20CE"/>
    <w:rsid w:val="007F4DC3"/>
    <w:rsid w:val="007F72E1"/>
    <w:rsid w:val="008016A0"/>
    <w:rsid w:val="00805A8C"/>
    <w:rsid w:val="0081079F"/>
    <w:rsid w:val="00811F16"/>
    <w:rsid w:val="00812433"/>
    <w:rsid w:val="00813623"/>
    <w:rsid w:val="008165F9"/>
    <w:rsid w:val="00817FB2"/>
    <w:rsid w:val="00820689"/>
    <w:rsid w:val="00825DCB"/>
    <w:rsid w:val="00830043"/>
    <w:rsid w:val="00834DE3"/>
    <w:rsid w:val="00842FC0"/>
    <w:rsid w:val="008440E1"/>
    <w:rsid w:val="008456D0"/>
    <w:rsid w:val="00845C8A"/>
    <w:rsid w:val="00845DEA"/>
    <w:rsid w:val="0084641A"/>
    <w:rsid w:val="0085502E"/>
    <w:rsid w:val="008576A8"/>
    <w:rsid w:val="00864238"/>
    <w:rsid w:val="008751B4"/>
    <w:rsid w:val="00876ABB"/>
    <w:rsid w:val="00882664"/>
    <w:rsid w:val="00887CFE"/>
    <w:rsid w:val="00891598"/>
    <w:rsid w:val="0089228C"/>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F9"/>
    <w:rsid w:val="008E78DC"/>
    <w:rsid w:val="008F5DE1"/>
    <w:rsid w:val="008F65DC"/>
    <w:rsid w:val="008F7D64"/>
    <w:rsid w:val="0090043B"/>
    <w:rsid w:val="00910638"/>
    <w:rsid w:val="00910FDD"/>
    <w:rsid w:val="00913C74"/>
    <w:rsid w:val="00914326"/>
    <w:rsid w:val="009170CF"/>
    <w:rsid w:val="00917EF9"/>
    <w:rsid w:val="00920727"/>
    <w:rsid w:val="009216EB"/>
    <w:rsid w:val="009258BC"/>
    <w:rsid w:val="00926CC2"/>
    <w:rsid w:val="009300B3"/>
    <w:rsid w:val="009300C8"/>
    <w:rsid w:val="0093141D"/>
    <w:rsid w:val="00931710"/>
    <w:rsid w:val="009350CE"/>
    <w:rsid w:val="00936C5D"/>
    <w:rsid w:val="00942DD6"/>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992"/>
    <w:rsid w:val="009A0FD5"/>
    <w:rsid w:val="009A1476"/>
    <w:rsid w:val="009B01B0"/>
    <w:rsid w:val="009B6EF8"/>
    <w:rsid w:val="009B7330"/>
    <w:rsid w:val="009C0ACC"/>
    <w:rsid w:val="009C38E7"/>
    <w:rsid w:val="009C6E39"/>
    <w:rsid w:val="009D11CF"/>
    <w:rsid w:val="009D1CA2"/>
    <w:rsid w:val="009D3D40"/>
    <w:rsid w:val="009D6008"/>
    <w:rsid w:val="009D725A"/>
    <w:rsid w:val="009E744B"/>
    <w:rsid w:val="009E7C72"/>
    <w:rsid w:val="009F02FA"/>
    <w:rsid w:val="009F139E"/>
    <w:rsid w:val="009F567F"/>
    <w:rsid w:val="009F751D"/>
    <w:rsid w:val="00A029DE"/>
    <w:rsid w:val="00A04AFF"/>
    <w:rsid w:val="00A06D02"/>
    <w:rsid w:val="00A074E8"/>
    <w:rsid w:val="00A10B08"/>
    <w:rsid w:val="00A11091"/>
    <w:rsid w:val="00A128F5"/>
    <w:rsid w:val="00A172D8"/>
    <w:rsid w:val="00A22376"/>
    <w:rsid w:val="00A22EF1"/>
    <w:rsid w:val="00A24190"/>
    <w:rsid w:val="00A27224"/>
    <w:rsid w:val="00A32754"/>
    <w:rsid w:val="00A3289E"/>
    <w:rsid w:val="00A34970"/>
    <w:rsid w:val="00A352A5"/>
    <w:rsid w:val="00A415F5"/>
    <w:rsid w:val="00A42B69"/>
    <w:rsid w:val="00A50249"/>
    <w:rsid w:val="00A51688"/>
    <w:rsid w:val="00A51B8D"/>
    <w:rsid w:val="00A54A0E"/>
    <w:rsid w:val="00A557CB"/>
    <w:rsid w:val="00A57A40"/>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D9D"/>
    <w:rsid w:val="00AB471B"/>
    <w:rsid w:val="00AB5F1A"/>
    <w:rsid w:val="00AB6F51"/>
    <w:rsid w:val="00AB701F"/>
    <w:rsid w:val="00AC0E27"/>
    <w:rsid w:val="00AC63CE"/>
    <w:rsid w:val="00AC644A"/>
    <w:rsid w:val="00AD4B91"/>
    <w:rsid w:val="00AE052B"/>
    <w:rsid w:val="00AE4305"/>
    <w:rsid w:val="00AE55BF"/>
    <w:rsid w:val="00AE57F7"/>
    <w:rsid w:val="00AF188F"/>
    <w:rsid w:val="00AF4366"/>
    <w:rsid w:val="00AF5EB7"/>
    <w:rsid w:val="00AF6208"/>
    <w:rsid w:val="00AF71DD"/>
    <w:rsid w:val="00B04F39"/>
    <w:rsid w:val="00B069B5"/>
    <w:rsid w:val="00B13B51"/>
    <w:rsid w:val="00B250D5"/>
    <w:rsid w:val="00B26CFB"/>
    <w:rsid w:val="00B32D49"/>
    <w:rsid w:val="00B43D45"/>
    <w:rsid w:val="00B4455E"/>
    <w:rsid w:val="00B4464E"/>
    <w:rsid w:val="00B44CFE"/>
    <w:rsid w:val="00B46189"/>
    <w:rsid w:val="00B52E2A"/>
    <w:rsid w:val="00B53F51"/>
    <w:rsid w:val="00B54454"/>
    <w:rsid w:val="00B5774B"/>
    <w:rsid w:val="00B57B3A"/>
    <w:rsid w:val="00B6314F"/>
    <w:rsid w:val="00B6392E"/>
    <w:rsid w:val="00B63E53"/>
    <w:rsid w:val="00B63FCB"/>
    <w:rsid w:val="00B6495E"/>
    <w:rsid w:val="00B64AC6"/>
    <w:rsid w:val="00B653C0"/>
    <w:rsid w:val="00B701C2"/>
    <w:rsid w:val="00B71D9F"/>
    <w:rsid w:val="00B73D08"/>
    <w:rsid w:val="00B77417"/>
    <w:rsid w:val="00B777E5"/>
    <w:rsid w:val="00B843DF"/>
    <w:rsid w:val="00B8508E"/>
    <w:rsid w:val="00B85A59"/>
    <w:rsid w:val="00B92FD5"/>
    <w:rsid w:val="00B93A99"/>
    <w:rsid w:val="00B94AB5"/>
    <w:rsid w:val="00B95CD3"/>
    <w:rsid w:val="00BA1E62"/>
    <w:rsid w:val="00BA633E"/>
    <w:rsid w:val="00BB2636"/>
    <w:rsid w:val="00BB391E"/>
    <w:rsid w:val="00BB39E9"/>
    <w:rsid w:val="00BC02B0"/>
    <w:rsid w:val="00BC3C6C"/>
    <w:rsid w:val="00BC4512"/>
    <w:rsid w:val="00BC740F"/>
    <w:rsid w:val="00BD0CC3"/>
    <w:rsid w:val="00BD12AC"/>
    <w:rsid w:val="00BD34F9"/>
    <w:rsid w:val="00BD57B1"/>
    <w:rsid w:val="00BD64D2"/>
    <w:rsid w:val="00BE4B38"/>
    <w:rsid w:val="00BE4D1B"/>
    <w:rsid w:val="00BF02B6"/>
    <w:rsid w:val="00BF69E7"/>
    <w:rsid w:val="00BF7D26"/>
    <w:rsid w:val="00C01153"/>
    <w:rsid w:val="00C02D53"/>
    <w:rsid w:val="00C03245"/>
    <w:rsid w:val="00C04BF5"/>
    <w:rsid w:val="00C04DC6"/>
    <w:rsid w:val="00C07BF6"/>
    <w:rsid w:val="00C126DD"/>
    <w:rsid w:val="00C145B6"/>
    <w:rsid w:val="00C20CA4"/>
    <w:rsid w:val="00C21894"/>
    <w:rsid w:val="00C25530"/>
    <w:rsid w:val="00C26256"/>
    <w:rsid w:val="00C34B8C"/>
    <w:rsid w:val="00C35252"/>
    <w:rsid w:val="00C36420"/>
    <w:rsid w:val="00C36C06"/>
    <w:rsid w:val="00C41466"/>
    <w:rsid w:val="00C437F8"/>
    <w:rsid w:val="00C4384B"/>
    <w:rsid w:val="00C45330"/>
    <w:rsid w:val="00C46CCE"/>
    <w:rsid w:val="00C479AB"/>
    <w:rsid w:val="00C51B6E"/>
    <w:rsid w:val="00C533D1"/>
    <w:rsid w:val="00C55325"/>
    <w:rsid w:val="00C5569B"/>
    <w:rsid w:val="00C57488"/>
    <w:rsid w:val="00C5788F"/>
    <w:rsid w:val="00C603C4"/>
    <w:rsid w:val="00C6040E"/>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A6EA1"/>
    <w:rsid w:val="00CB1753"/>
    <w:rsid w:val="00CB7089"/>
    <w:rsid w:val="00CC00D8"/>
    <w:rsid w:val="00CC1F1A"/>
    <w:rsid w:val="00CC2361"/>
    <w:rsid w:val="00CC2C63"/>
    <w:rsid w:val="00CC308A"/>
    <w:rsid w:val="00CC43A0"/>
    <w:rsid w:val="00CC5C27"/>
    <w:rsid w:val="00CC6376"/>
    <w:rsid w:val="00CD51AF"/>
    <w:rsid w:val="00CD566B"/>
    <w:rsid w:val="00CD67B3"/>
    <w:rsid w:val="00CE3462"/>
    <w:rsid w:val="00CE373D"/>
    <w:rsid w:val="00CF0562"/>
    <w:rsid w:val="00CF1B9A"/>
    <w:rsid w:val="00CF2221"/>
    <w:rsid w:val="00D043A7"/>
    <w:rsid w:val="00D05B54"/>
    <w:rsid w:val="00D07907"/>
    <w:rsid w:val="00D11924"/>
    <w:rsid w:val="00D121A1"/>
    <w:rsid w:val="00D132A4"/>
    <w:rsid w:val="00D15489"/>
    <w:rsid w:val="00D15C2B"/>
    <w:rsid w:val="00D17AE2"/>
    <w:rsid w:val="00D205FF"/>
    <w:rsid w:val="00D22BA9"/>
    <w:rsid w:val="00D23618"/>
    <w:rsid w:val="00D259DC"/>
    <w:rsid w:val="00D26468"/>
    <w:rsid w:val="00D2797B"/>
    <w:rsid w:val="00D32097"/>
    <w:rsid w:val="00D32CB4"/>
    <w:rsid w:val="00D35E98"/>
    <w:rsid w:val="00D3620C"/>
    <w:rsid w:val="00D40B0B"/>
    <w:rsid w:val="00D4105E"/>
    <w:rsid w:val="00D4768F"/>
    <w:rsid w:val="00D47F7B"/>
    <w:rsid w:val="00D50417"/>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7AE"/>
    <w:rsid w:val="00D97D81"/>
    <w:rsid w:val="00DA42FF"/>
    <w:rsid w:val="00DA754F"/>
    <w:rsid w:val="00DB1B54"/>
    <w:rsid w:val="00DB4026"/>
    <w:rsid w:val="00DB4F7D"/>
    <w:rsid w:val="00DB5BC6"/>
    <w:rsid w:val="00DB66D3"/>
    <w:rsid w:val="00DC1553"/>
    <w:rsid w:val="00DD381A"/>
    <w:rsid w:val="00DD43B0"/>
    <w:rsid w:val="00DD5520"/>
    <w:rsid w:val="00DD7378"/>
    <w:rsid w:val="00DE27BC"/>
    <w:rsid w:val="00DE5650"/>
    <w:rsid w:val="00DE6127"/>
    <w:rsid w:val="00DF0630"/>
    <w:rsid w:val="00DF08BC"/>
    <w:rsid w:val="00DF2ACA"/>
    <w:rsid w:val="00E005F2"/>
    <w:rsid w:val="00E0108F"/>
    <w:rsid w:val="00E03170"/>
    <w:rsid w:val="00E043CB"/>
    <w:rsid w:val="00E045D3"/>
    <w:rsid w:val="00E07BF0"/>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5697"/>
    <w:rsid w:val="00E95C76"/>
    <w:rsid w:val="00E95D22"/>
    <w:rsid w:val="00EA2B3C"/>
    <w:rsid w:val="00EA3400"/>
    <w:rsid w:val="00EA4F36"/>
    <w:rsid w:val="00EB0DA4"/>
    <w:rsid w:val="00EB3575"/>
    <w:rsid w:val="00EB4152"/>
    <w:rsid w:val="00EB63D8"/>
    <w:rsid w:val="00EB6504"/>
    <w:rsid w:val="00EB78EC"/>
    <w:rsid w:val="00EC2535"/>
    <w:rsid w:val="00EC3266"/>
    <w:rsid w:val="00EC4601"/>
    <w:rsid w:val="00EC5518"/>
    <w:rsid w:val="00EC76DA"/>
    <w:rsid w:val="00ED06F5"/>
    <w:rsid w:val="00ED07CC"/>
    <w:rsid w:val="00ED2BCD"/>
    <w:rsid w:val="00ED6687"/>
    <w:rsid w:val="00ED715D"/>
    <w:rsid w:val="00EE126B"/>
    <w:rsid w:val="00EE6626"/>
    <w:rsid w:val="00EE7973"/>
    <w:rsid w:val="00EF0AF6"/>
    <w:rsid w:val="00EF14AE"/>
    <w:rsid w:val="00EF2136"/>
    <w:rsid w:val="00EF3564"/>
    <w:rsid w:val="00EF3F7D"/>
    <w:rsid w:val="00EF7F3B"/>
    <w:rsid w:val="00F0507B"/>
    <w:rsid w:val="00F06A51"/>
    <w:rsid w:val="00F10C5C"/>
    <w:rsid w:val="00F117AC"/>
    <w:rsid w:val="00F120D3"/>
    <w:rsid w:val="00F124D1"/>
    <w:rsid w:val="00F13A97"/>
    <w:rsid w:val="00F151A0"/>
    <w:rsid w:val="00F21AF5"/>
    <w:rsid w:val="00F22F38"/>
    <w:rsid w:val="00F2498D"/>
    <w:rsid w:val="00F2538D"/>
    <w:rsid w:val="00F259D8"/>
    <w:rsid w:val="00F26244"/>
    <w:rsid w:val="00F26D58"/>
    <w:rsid w:val="00F31234"/>
    <w:rsid w:val="00F31368"/>
    <w:rsid w:val="00F32EF1"/>
    <w:rsid w:val="00F33BD6"/>
    <w:rsid w:val="00F342CC"/>
    <w:rsid w:val="00F34F05"/>
    <w:rsid w:val="00F40933"/>
    <w:rsid w:val="00F42E1E"/>
    <w:rsid w:val="00F43097"/>
    <w:rsid w:val="00F51F15"/>
    <w:rsid w:val="00F558B4"/>
    <w:rsid w:val="00F55A37"/>
    <w:rsid w:val="00F55E8E"/>
    <w:rsid w:val="00F611EB"/>
    <w:rsid w:val="00F711E2"/>
    <w:rsid w:val="00F726B8"/>
    <w:rsid w:val="00F735C6"/>
    <w:rsid w:val="00F758DC"/>
    <w:rsid w:val="00F8408F"/>
    <w:rsid w:val="00F906EF"/>
    <w:rsid w:val="00F912A3"/>
    <w:rsid w:val="00F9288C"/>
    <w:rsid w:val="00FA0512"/>
    <w:rsid w:val="00FA1742"/>
    <w:rsid w:val="00FA239A"/>
    <w:rsid w:val="00FA27C0"/>
    <w:rsid w:val="00FA4143"/>
    <w:rsid w:val="00FA552E"/>
    <w:rsid w:val="00FA62B9"/>
    <w:rsid w:val="00FA69D3"/>
    <w:rsid w:val="00FA7C74"/>
    <w:rsid w:val="00FB00A5"/>
    <w:rsid w:val="00FB022C"/>
    <w:rsid w:val="00FB0432"/>
    <w:rsid w:val="00FB3892"/>
    <w:rsid w:val="00FB4C7C"/>
    <w:rsid w:val="00FB566E"/>
    <w:rsid w:val="00FB6C5D"/>
    <w:rsid w:val="00FC118E"/>
    <w:rsid w:val="00FC1207"/>
    <w:rsid w:val="00FC2706"/>
    <w:rsid w:val="00FC4BB5"/>
    <w:rsid w:val="00FD1C75"/>
    <w:rsid w:val="00FD21BC"/>
    <w:rsid w:val="00FD304B"/>
    <w:rsid w:val="00FD4EAB"/>
    <w:rsid w:val="00FD5B9F"/>
    <w:rsid w:val="00FE0260"/>
    <w:rsid w:val="00FE1C25"/>
    <w:rsid w:val="00FE5CDF"/>
    <w:rsid w:val="00FF36B3"/>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372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6D02"/>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uiPriority w:val="5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qFormat/>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55E8E"/>
    <w:rPr>
      <w:rFonts w:ascii="Arial" w:hAnsi="Arial"/>
      <w:szCs w:val="22"/>
      <w:lang w:val="en-US" w:eastAsia="en-US"/>
    </w:rPr>
  </w:style>
  <w:style w:type="paragraph" w:styleId="NormalWeb">
    <w:name w:val="Normal (Web)"/>
    <w:basedOn w:val="Normal"/>
    <w:uiPriority w:val="99"/>
    <w:unhideWhenUsed/>
    <w:rsid w:val="00F55E8E"/>
    <w:pPr>
      <w:spacing w:before="100" w:beforeAutospacing="1" w:after="100" w:afterAutospacing="1"/>
    </w:pPr>
    <w:rPr>
      <w:rFonts w:ascii="Times New Roman" w:eastAsia="Times New Roman" w:hAnsi="Times New Roman"/>
      <w:sz w:val="24"/>
      <w:szCs w:val="24"/>
    </w:rPr>
  </w:style>
  <w:style w:type="paragraph" w:customStyle="1" w:styleId="Agreement">
    <w:name w:val="Agreement"/>
    <w:basedOn w:val="Normal"/>
    <w:next w:val="Normal"/>
    <w:qFormat/>
    <w:rsid w:val="00BC3C6C"/>
    <w:pPr>
      <w:numPr>
        <w:numId w:val="5"/>
      </w:numPr>
      <w:tabs>
        <w:tab w:val="num" w:pos="1619"/>
      </w:tabs>
      <w:overflowPunct w:val="0"/>
      <w:autoSpaceDE w:val="0"/>
      <w:autoSpaceDN w:val="0"/>
      <w:adjustRightInd w:val="0"/>
      <w:spacing w:before="60" w:after="0"/>
      <w:ind w:left="1616" w:hanging="357"/>
      <w:textAlignment w:val="baseline"/>
    </w:pPr>
    <w:rPr>
      <w:rFonts w:eastAsia="Times New Roman"/>
      <w:b/>
      <w:szCs w:val="20"/>
      <w:lang w:val="en-GB" w:eastAsia="ja-JP"/>
    </w:rPr>
  </w:style>
  <w:style w:type="character" w:customStyle="1" w:styleId="B1Char1">
    <w:name w:val="B1 Char1"/>
    <w:qFormat/>
    <w:rsid w:val="00D2797B"/>
    <w:rPr>
      <w:rFonts w:eastAsia="Times New Roman"/>
      <w:lang w:val="en-GB" w:eastAsia="ja-JP"/>
    </w:rPr>
  </w:style>
  <w:style w:type="paragraph" w:customStyle="1" w:styleId="B2">
    <w:name w:val="B2"/>
    <w:basedOn w:val="List2"/>
    <w:link w:val="B2Char"/>
    <w:qFormat/>
    <w:rsid w:val="00D2797B"/>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D2797B"/>
    <w:rPr>
      <w:rFonts w:ascii="Times New Roman" w:eastAsia="Times New Roman" w:hAnsi="Times New Roman"/>
      <w:lang w:eastAsia="ja-JP"/>
    </w:rPr>
  </w:style>
  <w:style w:type="paragraph" w:customStyle="1" w:styleId="B3">
    <w:name w:val="B3"/>
    <w:basedOn w:val="List3"/>
    <w:link w:val="B3Char2"/>
    <w:qFormat/>
    <w:rsid w:val="00D2797B"/>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character" w:customStyle="1" w:styleId="B3Char2">
    <w:name w:val="B3 Char2"/>
    <w:link w:val="B3"/>
    <w:qFormat/>
    <w:rsid w:val="00D2797B"/>
    <w:rPr>
      <w:rFonts w:ascii="Times New Roman" w:eastAsia="Times New Roman" w:hAnsi="Times New Roman"/>
      <w:lang w:eastAsia="ja-JP"/>
    </w:rPr>
  </w:style>
  <w:style w:type="paragraph" w:customStyle="1" w:styleId="B4">
    <w:name w:val="B4"/>
    <w:basedOn w:val="List4"/>
    <w:link w:val="B4Char"/>
    <w:qFormat/>
    <w:rsid w:val="00D2797B"/>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character" w:customStyle="1" w:styleId="B4Char">
    <w:name w:val="B4 Char"/>
    <w:link w:val="B4"/>
    <w:qFormat/>
    <w:rsid w:val="00D2797B"/>
    <w:rPr>
      <w:rFonts w:ascii="Times New Roman" w:eastAsia="Times New Roman" w:hAnsi="Times New Roman"/>
      <w:lang w:eastAsia="ja-JP"/>
    </w:rPr>
  </w:style>
  <w:style w:type="paragraph" w:styleId="List2">
    <w:name w:val="List 2"/>
    <w:basedOn w:val="Normal"/>
    <w:uiPriority w:val="99"/>
    <w:semiHidden/>
    <w:unhideWhenUsed/>
    <w:rsid w:val="00D2797B"/>
    <w:pPr>
      <w:ind w:left="566" w:hanging="283"/>
      <w:contextualSpacing/>
    </w:pPr>
  </w:style>
  <w:style w:type="paragraph" w:styleId="List3">
    <w:name w:val="List 3"/>
    <w:basedOn w:val="Normal"/>
    <w:uiPriority w:val="99"/>
    <w:semiHidden/>
    <w:unhideWhenUsed/>
    <w:rsid w:val="00D2797B"/>
    <w:pPr>
      <w:ind w:left="849" w:hanging="283"/>
      <w:contextualSpacing/>
    </w:pPr>
  </w:style>
  <w:style w:type="paragraph" w:styleId="List4">
    <w:name w:val="List 4"/>
    <w:basedOn w:val="Normal"/>
    <w:uiPriority w:val="99"/>
    <w:semiHidden/>
    <w:unhideWhenUsed/>
    <w:rsid w:val="00D2797B"/>
    <w:pPr>
      <w:ind w:left="1132" w:hanging="283"/>
      <w:contextualSpacing/>
    </w:pPr>
  </w:style>
  <w:style w:type="paragraph" w:customStyle="1" w:styleId="TAL">
    <w:name w:val="TAL"/>
    <w:basedOn w:val="Normal"/>
    <w:link w:val="TALCar"/>
    <w:qFormat/>
    <w:rsid w:val="003D4F3F"/>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3D4F3F"/>
    <w:rPr>
      <w:rFonts w:ascii="Arial" w:eastAsia="Times New Roman" w:hAnsi="Arial"/>
      <w:sz w:val="18"/>
      <w:lang w:eastAsia="ja-JP"/>
    </w:rPr>
  </w:style>
  <w:style w:type="paragraph" w:customStyle="1" w:styleId="TAH">
    <w:name w:val="TAH"/>
    <w:basedOn w:val="Normal"/>
    <w:link w:val="TAHCar"/>
    <w:qFormat/>
    <w:rsid w:val="003D4F3F"/>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3D4F3F"/>
    <w:rPr>
      <w:rFonts w:ascii="Arial" w:eastAsia="Times New Roman" w:hAnsi="Arial"/>
      <w:b/>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317E5"/>
    <w:rPr>
      <w:rFonts w:ascii="Arial" w:hAnsi="Arial"/>
      <w:szCs w:val="22"/>
      <w:lang w:val="en-US" w:eastAsia="en-US"/>
    </w:rPr>
  </w:style>
  <w:style w:type="paragraph" w:styleId="Title">
    <w:name w:val="Title"/>
    <w:basedOn w:val="Normal"/>
    <w:next w:val="Normal"/>
    <w:link w:val="TitleChar"/>
    <w:uiPriority w:val="10"/>
    <w:qFormat/>
    <w:rsid w:val="002317E5"/>
    <w:pPr>
      <w:spacing w:before="240" w:after="60"/>
      <w:ind w:left="1701" w:hanging="1701"/>
      <w:outlineLvl w:val="0"/>
    </w:pPr>
    <w:rPr>
      <w:rFonts w:eastAsiaTheme="minorEastAsia" w:cs="Arial"/>
      <w:b/>
      <w:bCs/>
      <w:kern w:val="28"/>
      <w:szCs w:val="20"/>
      <w:lang w:val="en-GB"/>
    </w:rPr>
  </w:style>
  <w:style w:type="character" w:customStyle="1" w:styleId="TitleChar">
    <w:name w:val="Title Char"/>
    <w:basedOn w:val="DefaultParagraphFont"/>
    <w:link w:val="Title"/>
    <w:uiPriority w:val="10"/>
    <w:rsid w:val="002317E5"/>
    <w:rPr>
      <w:rFonts w:ascii="Arial" w:eastAsiaTheme="minorEastAsia" w:hAnsi="Arial" w:cs="Arial"/>
      <w:b/>
      <w:bCs/>
      <w:kern w:val="28"/>
      <w:lang w:eastAsia="en-US"/>
    </w:rPr>
  </w:style>
  <w:style w:type="paragraph" w:customStyle="1" w:styleId="CRCoverPage">
    <w:name w:val="CR Cover Page"/>
    <w:link w:val="CRCoverPageZchn"/>
    <w:qFormat/>
    <w:rsid w:val="002317E5"/>
    <w:pPr>
      <w:spacing w:after="120"/>
    </w:pPr>
    <w:rPr>
      <w:rFonts w:ascii="Arial" w:eastAsiaTheme="minorEastAsia" w:hAnsi="Arial"/>
      <w:lang w:eastAsia="en-US"/>
    </w:rPr>
  </w:style>
  <w:style w:type="character" w:customStyle="1" w:styleId="CRCoverPageZchn">
    <w:name w:val="CR Cover Page Zchn"/>
    <w:link w:val="CRCoverPage"/>
    <w:qFormat/>
    <w:locked/>
    <w:rsid w:val="002317E5"/>
    <w:rPr>
      <w:rFonts w:ascii="Arial" w:eastAsiaTheme="minorEastAsia" w:hAnsi="Arial"/>
      <w:lang w:eastAsia="en-US"/>
    </w:rPr>
  </w:style>
  <w:style w:type="paragraph" w:customStyle="1" w:styleId="TAC">
    <w:name w:val="TAC"/>
    <w:basedOn w:val="TAL"/>
    <w:link w:val="TACChar"/>
    <w:rsid w:val="00CA6EA1"/>
    <w:pPr>
      <w:jc w:val="center"/>
    </w:pPr>
    <w:rPr>
      <w:lang w:eastAsia="en-US"/>
    </w:rPr>
  </w:style>
  <w:style w:type="character" w:customStyle="1" w:styleId="TALZchn">
    <w:name w:val="TAL Zchn"/>
    <w:rsid w:val="00CA6EA1"/>
    <w:rPr>
      <w:rFonts w:ascii="Arial" w:hAnsi="Arial"/>
      <w:sz w:val="18"/>
      <w:lang w:eastAsia="en-US"/>
    </w:rPr>
  </w:style>
  <w:style w:type="character" w:customStyle="1" w:styleId="TACChar">
    <w:name w:val="TAC Char"/>
    <w:link w:val="TAC"/>
    <w:rsid w:val="00CA6EA1"/>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1719">
      <w:bodyDiv w:val="1"/>
      <w:marLeft w:val="0"/>
      <w:marRight w:val="0"/>
      <w:marTop w:val="0"/>
      <w:marBottom w:val="0"/>
      <w:divBdr>
        <w:top w:val="none" w:sz="0" w:space="0" w:color="auto"/>
        <w:left w:val="none" w:sz="0" w:space="0" w:color="auto"/>
        <w:bottom w:val="none" w:sz="0" w:space="0" w:color="auto"/>
        <w:right w:val="none" w:sz="0" w:space="0" w:color="auto"/>
      </w:divBdr>
    </w:div>
    <w:div w:id="20207391">
      <w:bodyDiv w:val="1"/>
      <w:marLeft w:val="0"/>
      <w:marRight w:val="0"/>
      <w:marTop w:val="0"/>
      <w:marBottom w:val="0"/>
      <w:divBdr>
        <w:top w:val="none" w:sz="0" w:space="0" w:color="auto"/>
        <w:left w:val="none" w:sz="0" w:space="0" w:color="auto"/>
        <w:bottom w:val="none" w:sz="0" w:space="0" w:color="auto"/>
        <w:right w:val="none" w:sz="0" w:space="0" w:color="auto"/>
      </w:divBdr>
      <w:divsChild>
        <w:div w:id="271479498">
          <w:marLeft w:val="274"/>
          <w:marRight w:val="0"/>
          <w:marTop w:val="48"/>
          <w:marBottom w:val="0"/>
          <w:divBdr>
            <w:top w:val="none" w:sz="0" w:space="0" w:color="auto"/>
            <w:left w:val="none" w:sz="0" w:space="0" w:color="auto"/>
            <w:bottom w:val="none" w:sz="0" w:space="0" w:color="auto"/>
            <w:right w:val="none" w:sz="0" w:space="0" w:color="auto"/>
          </w:divBdr>
        </w:div>
        <w:div w:id="657654810">
          <w:marLeft w:val="274"/>
          <w:marRight w:val="0"/>
          <w:marTop w:val="48"/>
          <w:marBottom w:val="0"/>
          <w:divBdr>
            <w:top w:val="none" w:sz="0" w:space="0" w:color="auto"/>
            <w:left w:val="none" w:sz="0" w:space="0" w:color="auto"/>
            <w:bottom w:val="none" w:sz="0" w:space="0" w:color="auto"/>
            <w:right w:val="none" w:sz="0" w:space="0" w:color="auto"/>
          </w:divBdr>
        </w:div>
        <w:div w:id="264463607">
          <w:marLeft w:val="274"/>
          <w:marRight w:val="0"/>
          <w:marTop w:val="48"/>
          <w:marBottom w:val="0"/>
          <w:divBdr>
            <w:top w:val="none" w:sz="0" w:space="0" w:color="auto"/>
            <w:left w:val="none" w:sz="0" w:space="0" w:color="auto"/>
            <w:bottom w:val="none" w:sz="0" w:space="0" w:color="auto"/>
            <w:right w:val="none" w:sz="0" w:space="0" w:color="auto"/>
          </w:divBdr>
        </w:div>
      </w:divsChild>
    </w:div>
    <w:div w:id="36664656">
      <w:bodyDiv w:val="1"/>
      <w:marLeft w:val="0"/>
      <w:marRight w:val="0"/>
      <w:marTop w:val="0"/>
      <w:marBottom w:val="0"/>
      <w:divBdr>
        <w:top w:val="none" w:sz="0" w:space="0" w:color="auto"/>
        <w:left w:val="none" w:sz="0" w:space="0" w:color="auto"/>
        <w:bottom w:val="none" w:sz="0" w:space="0" w:color="auto"/>
        <w:right w:val="none" w:sz="0" w:space="0" w:color="auto"/>
      </w:divBdr>
      <w:divsChild>
        <w:div w:id="1890024164">
          <w:marLeft w:val="274"/>
          <w:marRight w:val="0"/>
          <w:marTop w:val="48"/>
          <w:marBottom w:val="0"/>
          <w:divBdr>
            <w:top w:val="none" w:sz="0" w:space="0" w:color="auto"/>
            <w:left w:val="none" w:sz="0" w:space="0" w:color="auto"/>
            <w:bottom w:val="none" w:sz="0" w:space="0" w:color="auto"/>
            <w:right w:val="none" w:sz="0" w:space="0" w:color="auto"/>
          </w:divBdr>
        </w:div>
        <w:div w:id="158085450">
          <w:marLeft w:val="274"/>
          <w:marRight w:val="0"/>
          <w:marTop w:val="48"/>
          <w:marBottom w:val="0"/>
          <w:divBdr>
            <w:top w:val="none" w:sz="0" w:space="0" w:color="auto"/>
            <w:left w:val="none" w:sz="0" w:space="0" w:color="auto"/>
            <w:bottom w:val="none" w:sz="0" w:space="0" w:color="auto"/>
            <w:right w:val="none" w:sz="0" w:space="0" w:color="auto"/>
          </w:divBdr>
        </w:div>
      </w:divsChild>
    </w:div>
    <w:div w:id="99297448">
      <w:bodyDiv w:val="1"/>
      <w:marLeft w:val="0"/>
      <w:marRight w:val="0"/>
      <w:marTop w:val="0"/>
      <w:marBottom w:val="0"/>
      <w:divBdr>
        <w:top w:val="none" w:sz="0" w:space="0" w:color="auto"/>
        <w:left w:val="none" w:sz="0" w:space="0" w:color="auto"/>
        <w:bottom w:val="none" w:sz="0" w:space="0" w:color="auto"/>
        <w:right w:val="none" w:sz="0" w:space="0" w:color="auto"/>
      </w:divBdr>
      <w:divsChild>
        <w:div w:id="1560899685">
          <w:marLeft w:val="547"/>
          <w:marRight w:val="0"/>
          <w:marTop w:val="60"/>
          <w:marBottom w:val="0"/>
          <w:divBdr>
            <w:top w:val="none" w:sz="0" w:space="0" w:color="auto"/>
            <w:left w:val="none" w:sz="0" w:space="0" w:color="auto"/>
            <w:bottom w:val="none" w:sz="0" w:space="0" w:color="auto"/>
            <w:right w:val="none" w:sz="0" w:space="0" w:color="auto"/>
          </w:divBdr>
        </w:div>
      </w:divsChild>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33846043">
      <w:bodyDiv w:val="1"/>
      <w:marLeft w:val="0"/>
      <w:marRight w:val="0"/>
      <w:marTop w:val="0"/>
      <w:marBottom w:val="0"/>
      <w:divBdr>
        <w:top w:val="none" w:sz="0" w:space="0" w:color="auto"/>
        <w:left w:val="none" w:sz="0" w:space="0" w:color="auto"/>
        <w:bottom w:val="none" w:sz="0" w:space="0" w:color="auto"/>
        <w:right w:val="none" w:sz="0" w:space="0" w:color="auto"/>
      </w:divBdr>
      <w:divsChild>
        <w:div w:id="1784492415">
          <w:marLeft w:val="1411"/>
          <w:marRight w:val="0"/>
          <w:marTop w:val="38"/>
          <w:marBottom w:val="0"/>
          <w:divBdr>
            <w:top w:val="none" w:sz="0" w:space="0" w:color="auto"/>
            <w:left w:val="none" w:sz="0" w:space="0" w:color="auto"/>
            <w:bottom w:val="none" w:sz="0" w:space="0" w:color="auto"/>
            <w:right w:val="none" w:sz="0" w:space="0" w:color="auto"/>
          </w:divBdr>
        </w:div>
        <w:div w:id="341781712">
          <w:marLeft w:val="1411"/>
          <w:marRight w:val="0"/>
          <w:marTop w:val="38"/>
          <w:marBottom w:val="0"/>
          <w:divBdr>
            <w:top w:val="none" w:sz="0" w:space="0" w:color="auto"/>
            <w:left w:val="none" w:sz="0" w:space="0" w:color="auto"/>
            <w:bottom w:val="none" w:sz="0" w:space="0" w:color="auto"/>
            <w:right w:val="none" w:sz="0" w:space="0" w:color="auto"/>
          </w:divBdr>
        </w:div>
        <w:div w:id="1195577026">
          <w:marLeft w:val="1411"/>
          <w:marRight w:val="0"/>
          <w:marTop w:val="38"/>
          <w:marBottom w:val="0"/>
          <w:divBdr>
            <w:top w:val="none" w:sz="0" w:space="0" w:color="auto"/>
            <w:left w:val="none" w:sz="0" w:space="0" w:color="auto"/>
            <w:bottom w:val="none" w:sz="0" w:space="0" w:color="auto"/>
            <w:right w:val="none" w:sz="0" w:space="0" w:color="auto"/>
          </w:divBdr>
        </w:div>
        <w:div w:id="1584024044">
          <w:marLeft w:val="1411"/>
          <w:marRight w:val="0"/>
          <w:marTop w:val="38"/>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36132823">
      <w:bodyDiv w:val="1"/>
      <w:marLeft w:val="0"/>
      <w:marRight w:val="0"/>
      <w:marTop w:val="0"/>
      <w:marBottom w:val="0"/>
      <w:divBdr>
        <w:top w:val="none" w:sz="0" w:space="0" w:color="auto"/>
        <w:left w:val="none" w:sz="0" w:space="0" w:color="auto"/>
        <w:bottom w:val="none" w:sz="0" w:space="0" w:color="auto"/>
        <w:right w:val="none" w:sz="0" w:space="0" w:color="auto"/>
      </w:divBdr>
      <w:divsChild>
        <w:div w:id="635524478">
          <w:marLeft w:val="274"/>
          <w:marRight w:val="0"/>
          <w:marTop w:val="48"/>
          <w:marBottom w:val="0"/>
          <w:divBdr>
            <w:top w:val="none" w:sz="0" w:space="0" w:color="auto"/>
            <w:left w:val="none" w:sz="0" w:space="0" w:color="auto"/>
            <w:bottom w:val="none" w:sz="0" w:space="0" w:color="auto"/>
            <w:right w:val="none" w:sz="0" w:space="0" w:color="auto"/>
          </w:divBdr>
        </w:div>
        <w:div w:id="1458723077">
          <w:marLeft w:val="1282"/>
          <w:marRight w:val="0"/>
          <w:marTop w:val="0"/>
          <w:marBottom w:val="0"/>
          <w:divBdr>
            <w:top w:val="none" w:sz="0" w:space="0" w:color="auto"/>
            <w:left w:val="none" w:sz="0" w:space="0" w:color="auto"/>
            <w:bottom w:val="none" w:sz="0" w:space="0" w:color="auto"/>
            <w:right w:val="none" w:sz="0" w:space="0" w:color="auto"/>
          </w:divBdr>
        </w:div>
      </w:divsChild>
    </w:div>
    <w:div w:id="743112869">
      <w:bodyDiv w:val="1"/>
      <w:marLeft w:val="0"/>
      <w:marRight w:val="0"/>
      <w:marTop w:val="0"/>
      <w:marBottom w:val="0"/>
      <w:divBdr>
        <w:top w:val="none" w:sz="0" w:space="0" w:color="auto"/>
        <w:left w:val="none" w:sz="0" w:space="0" w:color="auto"/>
        <w:bottom w:val="none" w:sz="0" w:space="0" w:color="auto"/>
        <w:right w:val="none" w:sz="0" w:space="0" w:color="auto"/>
      </w:divBdr>
    </w:div>
    <w:div w:id="783424558">
      <w:bodyDiv w:val="1"/>
      <w:marLeft w:val="0"/>
      <w:marRight w:val="0"/>
      <w:marTop w:val="0"/>
      <w:marBottom w:val="0"/>
      <w:divBdr>
        <w:top w:val="none" w:sz="0" w:space="0" w:color="auto"/>
        <w:left w:val="none" w:sz="0" w:space="0" w:color="auto"/>
        <w:bottom w:val="none" w:sz="0" w:space="0" w:color="auto"/>
        <w:right w:val="none" w:sz="0" w:space="0" w:color="auto"/>
      </w:divBdr>
      <w:divsChild>
        <w:div w:id="1348867090">
          <w:marLeft w:val="1411"/>
          <w:marRight w:val="0"/>
          <w:marTop w:val="38"/>
          <w:marBottom w:val="0"/>
          <w:divBdr>
            <w:top w:val="none" w:sz="0" w:space="0" w:color="auto"/>
            <w:left w:val="none" w:sz="0" w:space="0" w:color="auto"/>
            <w:bottom w:val="none" w:sz="0" w:space="0" w:color="auto"/>
            <w:right w:val="none" w:sz="0" w:space="0" w:color="auto"/>
          </w:divBdr>
        </w:div>
        <w:div w:id="1927152794">
          <w:marLeft w:val="1411"/>
          <w:marRight w:val="0"/>
          <w:marTop w:val="38"/>
          <w:marBottom w:val="0"/>
          <w:divBdr>
            <w:top w:val="none" w:sz="0" w:space="0" w:color="auto"/>
            <w:left w:val="none" w:sz="0" w:space="0" w:color="auto"/>
            <w:bottom w:val="none" w:sz="0" w:space="0" w:color="auto"/>
            <w:right w:val="none" w:sz="0" w:space="0" w:color="auto"/>
          </w:divBdr>
        </w:div>
        <w:div w:id="1676954640">
          <w:marLeft w:val="1411"/>
          <w:marRight w:val="0"/>
          <w:marTop w:val="38"/>
          <w:marBottom w:val="0"/>
          <w:divBdr>
            <w:top w:val="none" w:sz="0" w:space="0" w:color="auto"/>
            <w:left w:val="none" w:sz="0" w:space="0" w:color="auto"/>
            <w:bottom w:val="none" w:sz="0" w:space="0" w:color="auto"/>
            <w:right w:val="none" w:sz="0" w:space="0" w:color="auto"/>
          </w:divBdr>
        </w:div>
      </w:divsChild>
    </w:div>
    <w:div w:id="843209708">
      <w:bodyDiv w:val="1"/>
      <w:marLeft w:val="0"/>
      <w:marRight w:val="0"/>
      <w:marTop w:val="0"/>
      <w:marBottom w:val="0"/>
      <w:divBdr>
        <w:top w:val="none" w:sz="0" w:space="0" w:color="auto"/>
        <w:left w:val="none" w:sz="0" w:space="0" w:color="auto"/>
        <w:bottom w:val="none" w:sz="0" w:space="0" w:color="auto"/>
        <w:right w:val="none" w:sz="0" w:space="0" w:color="auto"/>
      </w:divBdr>
      <w:divsChild>
        <w:div w:id="2083139657">
          <w:marLeft w:val="274"/>
          <w:marRight w:val="0"/>
          <w:marTop w:val="48"/>
          <w:marBottom w:val="0"/>
          <w:divBdr>
            <w:top w:val="none" w:sz="0" w:space="0" w:color="auto"/>
            <w:left w:val="none" w:sz="0" w:space="0" w:color="auto"/>
            <w:bottom w:val="none" w:sz="0" w:space="0" w:color="auto"/>
            <w:right w:val="none" w:sz="0" w:space="0" w:color="auto"/>
          </w:divBdr>
        </w:div>
        <w:div w:id="1278559599">
          <w:marLeft w:val="274"/>
          <w:marRight w:val="0"/>
          <w:marTop w:val="48"/>
          <w:marBottom w:val="0"/>
          <w:divBdr>
            <w:top w:val="none" w:sz="0" w:space="0" w:color="auto"/>
            <w:left w:val="none" w:sz="0" w:space="0" w:color="auto"/>
            <w:bottom w:val="none" w:sz="0" w:space="0" w:color="auto"/>
            <w:right w:val="none" w:sz="0" w:space="0" w:color="auto"/>
          </w:divBdr>
        </w:div>
        <w:div w:id="1912541420">
          <w:marLeft w:val="274"/>
          <w:marRight w:val="0"/>
          <w:marTop w:val="48"/>
          <w:marBottom w:val="0"/>
          <w:divBdr>
            <w:top w:val="none" w:sz="0" w:space="0" w:color="auto"/>
            <w:left w:val="none" w:sz="0" w:space="0" w:color="auto"/>
            <w:bottom w:val="none" w:sz="0" w:space="0" w:color="auto"/>
            <w:right w:val="none" w:sz="0" w:space="0" w:color="auto"/>
          </w:divBdr>
        </w:div>
      </w:divsChild>
    </w:div>
    <w:div w:id="896551925">
      <w:bodyDiv w:val="1"/>
      <w:marLeft w:val="0"/>
      <w:marRight w:val="0"/>
      <w:marTop w:val="0"/>
      <w:marBottom w:val="0"/>
      <w:divBdr>
        <w:top w:val="none" w:sz="0" w:space="0" w:color="auto"/>
        <w:left w:val="none" w:sz="0" w:space="0" w:color="auto"/>
        <w:bottom w:val="none" w:sz="0" w:space="0" w:color="auto"/>
        <w:right w:val="none" w:sz="0" w:space="0" w:color="auto"/>
      </w:divBdr>
    </w:div>
    <w:div w:id="933051440">
      <w:bodyDiv w:val="1"/>
      <w:marLeft w:val="0"/>
      <w:marRight w:val="0"/>
      <w:marTop w:val="0"/>
      <w:marBottom w:val="0"/>
      <w:divBdr>
        <w:top w:val="none" w:sz="0" w:space="0" w:color="auto"/>
        <w:left w:val="none" w:sz="0" w:space="0" w:color="auto"/>
        <w:bottom w:val="none" w:sz="0" w:space="0" w:color="auto"/>
        <w:right w:val="none" w:sz="0" w:space="0" w:color="auto"/>
      </w:divBdr>
      <w:divsChild>
        <w:div w:id="1239364468">
          <w:marLeft w:val="835"/>
          <w:marRight w:val="0"/>
          <w:marTop w:val="58"/>
          <w:marBottom w:val="0"/>
          <w:divBdr>
            <w:top w:val="none" w:sz="0" w:space="0" w:color="auto"/>
            <w:left w:val="none" w:sz="0" w:space="0" w:color="auto"/>
            <w:bottom w:val="none" w:sz="0" w:space="0" w:color="auto"/>
            <w:right w:val="none" w:sz="0" w:space="0" w:color="auto"/>
          </w:divBdr>
        </w:div>
        <w:div w:id="1316759337">
          <w:marLeft w:val="835"/>
          <w:marRight w:val="0"/>
          <w:marTop w:val="58"/>
          <w:marBottom w:val="0"/>
          <w:divBdr>
            <w:top w:val="none" w:sz="0" w:space="0" w:color="auto"/>
            <w:left w:val="none" w:sz="0" w:space="0" w:color="auto"/>
            <w:bottom w:val="none" w:sz="0" w:space="0" w:color="auto"/>
            <w:right w:val="none" w:sz="0" w:space="0" w:color="auto"/>
          </w:divBdr>
        </w:div>
        <w:div w:id="31350082">
          <w:marLeft w:val="835"/>
          <w:marRight w:val="0"/>
          <w:marTop w:val="58"/>
          <w:marBottom w:val="0"/>
          <w:divBdr>
            <w:top w:val="none" w:sz="0" w:space="0" w:color="auto"/>
            <w:left w:val="none" w:sz="0" w:space="0" w:color="auto"/>
            <w:bottom w:val="none" w:sz="0" w:space="0" w:color="auto"/>
            <w:right w:val="none" w:sz="0" w:space="0" w:color="auto"/>
          </w:divBdr>
        </w:div>
        <w:div w:id="490565891">
          <w:marLeft w:val="835"/>
          <w:marRight w:val="0"/>
          <w:marTop w:val="58"/>
          <w:marBottom w:val="0"/>
          <w:divBdr>
            <w:top w:val="none" w:sz="0" w:space="0" w:color="auto"/>
            <w:left w:val="none" w:sz="0" w:space="0" w:color="auto"/>
            <w:bottom w:val="none" w:sz="0" w:space="0" w:color="auto"/>
            <w:right w:val="none" w:sz="0" w:space="0" w:color="auto"/>
          </w:divBdr>
        </w:div>
      </w:divsChild>
    </w:div>
    <w:div w:id="991178514">
      <w:bodyDiv w:val="1"/>
      <w:marLeft w:val="0"/>
      <w:marRight w:val="0"/>
      <w:marTop w:val="0"/>
      <w:marBottom w:val="0"/>
      <w:divBdr>
        <w:top w:val="none" w:sz="0" w:space="0" w:color="auto"/>
        <w:left w:val="none" w:sz="0" w:space="0" w:color="auto"/>
        <w:bottom w:val="none" w:sz="0" w:space="0" w:color="auto"/>
        <w:right w:val="none" w:sz="0" w:space="0" w:color="auto"/>
      </w:divBdr>
      <w:divsChild>
        <w:div w:id="836531059">
          <w:marLeft w:val="1411"/>
          <w:marRight w:val="0"/>
          <w:marTop w:val="38"/>
          <w:marBottom w:val="0"/>
          <w:divBdr>
            <w:top w:val="none" w:sz="0" w:space="0" w:color="auto"/>
            <w:left w:val="none" w:sz="0" w:space="0" w:color="auto"/>
            <w:bottom w:val="none" w:sz="0" w:space="0" w:color="auto"/>
            <w:right w:val="none" w:sz="0" w:space="0" w:color="auto"/>
          </w:divBdr>
        </w:div>
      </w:divsChild>
    </w:div>
    <w:div w:id="1027020221">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332021">
      <w:bodyDiv w:val="1"/>
      <w:marLeft w:val="0"/>
      <w:marRight w:val="0"/>
      <w:marTop w:val="0"/>
      <w:marBottom w:val="0"/>
      <w:divBdr>
        <w:top w:val="none" w:sz="0" w:space="0" w:color="auto"/>
        <w:left w:val="none" w:sz="0" w:space="0" w:color="auto"/>
        <w:bottom w:val="none" w:sz="0" w:space="0" w:color="auto"/>
        <w:right w:val="none" w:sz="0" w:space="0" w:color="auto"/>
      </w:divBdr>
      <w:divsChild>
        <w:div w:id="59519001">
          <w:marLeft w:val="835"/>
          <w:marRight w:val="0"/>
          <w:marTop w:val="67"/>
          <w:marBottom w:val="0"/>
          <w:divBdr>
            <w:top w:val="none" w:sz="0" w:space="0" w:color="auto"/>
            <w:left w:val="none" w:sz="0" w:space="0" w:color="auto"/>
            <w:bottom w:val="none" w:sz="0" w:space="0" w:color="auto"/>
            <w:right w:val="none" w:sz="0" w:space="0" w:color="auto"/>
          </w:divBdr>
        </w:div>
      </w:divsChild>
    </w:div>
    <w:div w:id="1246257439">
      <w:bodyDiv w:val="1"/>
      <w:marLeft w:val="0"/>
      <w:marRight w:val="0"/>
      <w:marTop w:val="0"/>
      <w:marBottom w:val="0"/>
      <w:divBdr>
        <w:top w:val="none" w:sz="0" w:space="0" w:color="auto"/>
        <w:left w:val="none" w:sz="0" w:space="0" w:color="auto"/>
        <w:bottom w:val="none" w:sz="0" w:space="0" w:color="auto"/>
        <w:right w:val="none" w:sz="0" w:space="0" w:color="auto"/>
      </w:divBdr>
      <w:divsChild>
        <w:div w:id="1463771726">
          <w:marLeft w:val="835"/>
          <w:marRight w:val="0"/>
          <w:marTop w:val="58"/>
          <w:marBottom w:val="0"/>
          <w:divBdr>
            <w:top w:val="none" w:sz="0" w:space="0" w:color="auto"/>
            <w:left w:val="none" w:sz="0" w:space="0" w:color="auto"/>
            <w:bottom w:val="none" w:sz="0" w:space="0" w:color="auto"/>
            <w:right w:val="none" w:sz="0" w:space="0" w:color="auto"/>
          </w:divBdr>
        </w:div>
        <w:div w:id="159589763">
          <w:marLeft w:val="835"/>
          <w:marRight w:val="0"/>
          <w:marTop w:val="58"/>
          <w:marBottom w:val="0"/>
          <w:divBdr>
            <w:top w:val="none" w:sz="0" w:space="0" w:color="auto"/>
            <w:left w:val="none" w:sz="0" w:space="0" w:color="auto"/>
            <w:bottom w:val="none" w:sz="0" w:space="0" w:color="auto"/>
            <w:right w:val="none" w:sz="0" w:space="0" w:color="auto"/>
          </w:divBdr>
        </w:div>
        <w:div w:id="2004620686">
          <w:marLeft w:val="835"/>
          <w:marRight w:val="0"/>
          <w:marTop w:val="58"/>
          <w:marBottom w:val="0"/>
          <w:divBdr>
            <w:top w:val="none" w:sz="0" w:space="0" w:color="auto"/>
            <w:left w:val="none" w:sz="0" w:space="0" w:color="auto"/>
            <w:bottom w:val="none" w:sz="0" w:space="0" w:color="auto"/>
            <w:right w:val="none" w:sz="0" w:space="0" w:color="auto"/>
          </w:divBdr>
        </w:div>
        <w:div w:id="814565753">
          <w:marLeft w:val="835"/>
          <w:marRight w:val="0"/>
          <w:marTop w:val="58"/>
          <w:marBottom w:val="0"/>
          <w:divBdr>
            <w:top w:val="none" w:sz="0" w:space="0" w:color="auto"/>
            <w:left w:val="none" w:sz="0" w:space="0" w:color="auto"/>
            <w:bottom w:val="none" w:sz="0" w:space="0" w:color="auto"/>
            <w:right w:val="none" w:sz="0" w:space="0" w:color="auto"/>
          </w:divBdr>
        </w:div>
      </w:divsChild>
    </w:div>
    <w:div w:id="1254900658">
      <w:bodyDiv w:val="1"/>
      <w:marLeft w:val="0"/>
      <w:marRight w:val="0"/>
      <w:marTop w:val="0"/>
      <w:marBottom w:val="0"/>
      <w:divBdr>
        <w:top w:val="none" w:sz="0" w:space="0" w:color="auto"/>
        <w:left w:val="none" w:sz="0" w:space="0" w:color="auto"/>
        <w:bottom w:val="none" w:sz="0" w:space="0" w:color="auto"/>
        <w:right w:val="none" w:sz="0" w:space="0" w:color="auto"/>
      </w:divBdr>
      <w:divsChild>
        <w:div w:id="1447043411">
          <w:marLeft w:val="547"/>
          <w:marRight w:val="0"/>
          <w:marTop w:val="40"/>
          <w:marBottom w:val="0"/>
          <w:divBdr>
            <w:top w:val="none" w:sz="0" w:space="0" w:color="auto"/>
            <w:left w:val="none" w:sz="0" w:space="0" w:color="auto"/>
            <w:bottom w:val="none" w:sz="0" w:space="0" w:color="auto"/>
            <w:right w:val="none" w:sz="0" w:space="0" w:color="auto"/>
          </w:divBdr>
        </w:div>
        <w:div w:id="119568993">
          <w:marLeft w:val="1166"/>
          <w:marRight w:val="0"/>
          <w:marTop w:val="40"/>
          <w:marBottom w:val="0"/>
          <w:divBdr>
            <w:top w:val="none" w:sz="0" w:space="0" w:color="auto"/>
            <w:left w:val="none" w:sz="0" w:space="0" w:color="auto"/>
            <w:bottom w:val="none" w:sz="0" w:space="0" w:color="auto"/>
            <w:right w:val="none" w:sz="0" w:space="0" w:color="auto"/>
          </w:divBdr>
        </w:div>
        <w:div w:id="1736200092">
          <w:marLeft w:val="1166"/>
          <w:marRight w:val="0"/>
          <w:marTop w:val="40"/>
          <w:marBottom w:val="0"/>
          <w:divBdr>
            <w:top w:val="none" w:sz="0" w:space="0" w:color="auto"/>
            <w:left w:val="none" w:sz="0" w:space="0" w:color="auto"/>
            <w:bottom w:val="none" w:sz="0" w:space="0" w:color="auto"/>
            <w:right w:val="none" w:sz="0" w:space="0" w:color="auto"/>
          </w:divBdr>
        </w:div>
        <w:div w:id="924189548">
          <w:marLeft w:val="1166"/>
          <w:marRight w:val="0"/>
          <w:marTop w:val="40"/>
          <w:marBottom w:val="0"/>
          <w:divBdr>
            <w:top w:val="none" w:sz="0" w:space="0" w:color="auto"/>
            <w:left w:val="none" w:sz="0" w:space="0" w:color="auto"/>
            <w:bottom w:val="none" w:sz="0" w:space="0" w:color="auto"/>
            <w:right w:val="none" w:sz="0" w:space="0" w:color="auto"/>
          </w:divBdr>
        </w:div>
      </w:divsChild>
    </w:div>
    <w:div w:id="1264336859">
      <w:bodyDiv w:val="1"/>
      <w:marLeft w:val="0"/>
      <w:marRight w:val="0"/>
      <w:marTop w:val="0"/>
      <w:marBottom w:val="0"/>
      <w:divBdr>
        <w:top w:val="none" w:sz="0" w:space="0" w:color="auto"/>
        <w:left w:val="none" w:sz="0" w:space="0" w:color="auto"/>
        <w:bottom w:val="none" w:sz="0" w:space="0" w:color="auto"/>
        <w:right w:val="none" w:sz="0" w:space="0" w:color="auto"/>
      </w:divBdr>
      <w:divsChild>
        <w:div w:id="1708215573">
          <w:marLeft w:val="1411"/>
          <w:marRight w:val="0"/>
          <w:marTop w:val="60"/>
          <w:marBottom w:val="60"/>
          <w:divBdr>
            <w:top w:val="none" w:sz="0" w:space="0" w:color="auto"/>
            <w:left w:val="none" w:sz="0" w:space="0" w:color="auto"/>
            <w:bottom w:val="none" w:sz="0" w:space="0" w:color="auto"/>
            <w:right w:val="none" w:sz="0" w:space="0" w:color="auto"/>
          </w:divBdr>
        </w:div>
        <w:div w:id="404765990">
          <w:marLeft w:val="1411"/>
          <w:marRight w:val="0"/>
          <w:marTop w:val="60"/>
          <w:marBottom w:val="60"/>
          <w:divBdr>
            <w:top w:val="none" w:sz="0" w:space="0" w:color="auto"/>
            <w:left w:val="none" w:sz="0" w:space="0" w:color="auto"/>
            <w:bottom w:val="none" w:sz="0" w:space="0" w:color="auto"/>
            <w:right w:val="none" w:sz="0" w:space="0" w:color="auto"/>
          </w:divBdr>
        </w:div>
        <w:div w:id="1410229672">
          <w:marLeft w:val="850"/>
          <w:marRight w:val="0"/>
          <w:marTop w:val="60"/>
          <w:marBottom w:val="60"/>
          <w:divBdr>
            <w:top w:val="none" w:sz="0" w:space="0" w:color="auto"/>
            <w:left w:val="none" w:sz="0" w:space="0" w:color="auto"/>
            <w:bottom w:val="none" w:sz="0" w:space="0" w:color="auto"/>
            <w:right w:val="none" w:sz="0" w:space="0" w:color="auto"/>
          </w:divBdr>
        </w:div>
        <w:div w:id="29770597">
          <w:marLeft w:val="1411"/>
          <w:marRight w:val="0"/>
          <w:marTop w:val="60"/>
          <w:marBottom w:val="60"/>
          <w:divBdr>
            <w:top w:val="none" w:sz="0" w:space="0" w:color="auto"/>
            <w:left w:val="none" w:sz="0" w:space="0" w:color="auto"/>
            <w:bottom w:val="none" w:sz="0" w:space="0" w:color="auto"/>
            <w:right w:val="none" w:sz="0" w:space="0" w:color="auto"/>
          </w:divBdr>
        </w:div>
        <w:div w:id="1895772475">
          <w:marLeft w:val="850"/>
          <w:marRight w:val="0"/>
          <w:marTop w:val="60"/>
          <w:marBottom w:val="60"/>
          <w:divBdr>
            <w:top w:val="none" w:sz="0" w:space="0" w:color="auto"/>
            <w:left w:val="none" w:sz="0" w:space="0" w:color="auto"/>
            <w:bottom w:val="none" w:sz="0" w:space="0" w:color="auto"/>
            <w:right w:val="none" w:sz="0" w:space="0" w:color="auto"/>
          </w:divBdr>
        </w:div>
      </w:divsChild>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22722832">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55495865">
      <w:bodyDiv w:val="1"/>
      <w:marLeft w:val="0"/>
      <w:marRight w:val="0"/>
      <w:marTop w:val="0"/>
      <w:marBottom w:val="0"/>
      <w:divBdr>
        <w:top w:val="none" w:sz="0" w:space="0" w:color="auto"/>
        <w:left w:val="none" w:sz="0" w:space="0" w:color="auto"/>
        <w:bottom w:val="none" w:sz="0" w:space="0" w:color="auto"/>
        <w:right w:val="none" w:sz="0" w:space="0" w:color="auto"/>
      </w:divBdr>
      <w:divsChild>
        <w:div w:id="279843491">
          <w:marLeft w:val="1411"/>
          <w:marRight w:val="0"/>
          <w:marTop w:val="60"/>
          <w:marBottom w:val="60"/>
          <w:divBdr>
            <w:top w:val="none" w:sz="0" w:space="0" w:color="auto"/>
            <w:left w:val="none" w:sz="0" w:space="0" w:color="auto"/>
            <w:bottom w:val="none" w:sz="0" w:space="0" w:color="auto"/>
            <w:right w:val="none" w:sz="0" w:space="0" w:color="auto"/>
          </w:divBdr>
        </w:div>
      </w:divsChild>
    </w:div>
    <w:div w:id="2070684174">
      <w:bodyDiv w:val="1"/>
      <w:marLeft w:val="0"/>
      <w:marRight w:val="0"/>
      <w:marTop w:val="0"/>
      <w:marBottom w:val="0"/>
      <w:divBdr>
        <w:top w:val="none" w:sz="0" w:space="0" w:color="auto"/>
        <w:left w:val="none" w:sz="0" w:space="0" w:color="auto"/>
        <w:bottom w:val="none" w:sz="0" w:space="0" w:color="auto"/>
        <w:right w:val="none" w:sz="0" w:space="0" w:color="auto"/>
      </w:divBdr>
      <w:divsChild>
        <w:div w:id="91054301">
          <w:marLeft w:val="274"/>
          <w:marRight w:val="0"/>
          <w:marTop w:val="62"/>
          <w:marBottom w:val="0"/>
          <w:divBdr>
            <w:top w:val="none" w:sz="0" w:space="0" w:color="auto"/>
            <w:left w:val="none" w:sz="0" w:space="0" w:color="auto"/>
            <w:bottom w:val="none" w:sz="0" w:space="0" w:color="auto"/>
            <w:right w:val="none" w:sz="0" w:space="0" w:color="auto"/>
          </w:divBdr>
        </w:div>
        <w:div w:id="1028264427">
          <w:marLeft w:val="274"/>
          <w:marRight w:val="0"/>
          <w:marTop w:val="62"/>
          <w:marBottom w:val="0"/>
          <w:divBdr>
            <w:top w:val="none" w:sz="0" w:space="0" w:color="auto"/>
            <w:left w:val="none" w:sz="0" w:space="0" w:color="auto"/>
            <w:bottom w:val="none" w:sz="0" w:space="0" w:color="auto"/>
            <w:right w:val="none" w:sz="0" w:space="0" w:color="auto"/>
          </w:divBdr>
        </w:div>
        <w:div w:id="710109764">
          <w:marLeft w:val="835"/>
          <w:marRight w:val="0"/>
          <w:marTop w:val="58"/>
          <w:marBottom w:val="0"/>
          <w:divBdr>
            <w:top w:val="none" w:sz="0" w:space="0" w:color="auto"/>
            <w:left w:val="none" w:sz="0" w:space="0" w:color="auto"/>
            <w:bottom w:val="none" w:sz="0" w:space="0" w:color="auto"/>
            <w:right w:val="none" w:sz="0" w:space="0" w:color="auto"/>
          </w:divBdr>
        </w:div>
        <w:div w:id="1524317923">
          <w:marLeft w:val="835"/>
          <w:marRight w:val="0"/>
          <w:marTop w:val="58"/>
          <w:marBottom w:val="0"/>
          <w:divBdr>
            <w:top w:val="none" w:sz="0" w:space="0" w:color="auto"/>
            <w:left w:val="none" w:sz="0" w:space="0" w:color="auto"/>
            <w:bottom w:val="none" w:sz="0" w:space="0" w:color="auto"/>
            <w:right w:val="none" w:sz="0" w:space="0" w:color="auto"/>
          </w:divBdr>
        </w:div>
        <w:div w:id="184102331">
          <w:marLeft w:val="274"/>
          <w:marRight w:val="0"/>
          <w:marTop w:val="62"/>
          <w:marBottom w:val="0"/>
          <w:divBdr>
            <w:top w:val="none" w:sz="0" w:space="0" w:color="auto"/>
            <w:left w:val="none" w:sz="0" w:space="0" w:color="auto"/>
            <w:bottom w:val="none" w:sz="0" w:space="0" w:color="auto"/>
            <w:right w:val="none" w:sz="0" w:space="0" w:color="auto"/>
          </w:divBdr>
        </w:div>
      </w:divsChild>
    </w:div>
    <w:div w:id="2072271119">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095586805">
      <w:bodyDiv w:val="1"/>
      <w:marLeft w:val="0"/>
      <w:marRight w:val="0"/>
      <w:marTop w:val="0"/>
      <w:marBottom w:val="0"/>
      <w:divBdr>
        <w:top w:val="none" w:sz="0" w:space="0" w:color="auto"/>
        <w:left w:val="none" w:sz="0" w:space="0" w:color="auto"/>
        <w:bottom w:val="none" w:sz="0" w:space="0" w:color="auto"/>
        <w:right w:val="none" w:sz="0" w:space="0" w:color="auto"/>
      </w:divBdr>
      <w:divsChild>
        <w:div w:id="1386369369">
          <w:marLeft w:val="274"/>
          <w:marRight w:val="0"/>
          <w:marTop w:val="48"/>
          <w:marBottom w:val="0"/>
          <w:divBdr>
            <w:top w:val="none" w:sz="0" w:space="0" w:color="auto"/>
            <w:left w:val="none" w:sz="0" w:space="0" w:color="auto"/>
            <w:bottom w:val="none" w:sz="0" w:space="0" w:color="auto"/>
            <w:right w:val="none" w:sz="0" w:space="0" w:color="auto"/>
          </w:divBdr>
        </w:div>
        <w:div w:id="1577982217">
          <w:marLeft w:val="1282"/>
          <w:marRight w:val="0"/>
          <w:marTop w:val="0"/>
          <w:marBottom w:val="0"/>
          <w:divBdr>
            <w:top w:val="none" w:sz="0" w:space="0" w:color="auto"/>
            <w:left w:val="none" w:sz="0" w:space="0" w:color="auto"/>
            <w:bottom w:val="none" w:sz="0" w:space="0" w:color="auto"/>
            <w:right w:val="none" w:sz="0" w:space="0" w:color="auto"/>
          </w:divBdr>
        </w:div>
      </w:divsChild>
    </w:div>
    <w:div w:id="2108773622">
      <w:bodyDiv w:val="1"/>
      <w:marLeft w:val="0"/>
      <w:marRight w:val="0"/>
      <w:marTop w:val="0"/>
      <w:marBottom w:val="0"/>
      <w:divBdr>
        <w:top w:val="none" w:sz="0" w:space="0" w:color="auto"/>
        <w:left w:val="none" w:sz="0" w:space="0" w:color="auto"/>
        <w:bottom w:val="none" w:sz="0" w:space="0" w:color="auto"/>
        <w:right w:val="none" w:sz="0" w:space="0" w:color="auto"/>
      </w:divBdr>
      <w:divsChild>
        <w:div w:id="1005284169">
          <w:marLeft w:val="720"/>
          <w:marRight w:val="0"/>
          <w:marTop w:val="106"/>
          <w:marBottom w:val="0"/>
          <w:divBdr>
            <w:top w:val="none" w:sz="0" w:space="0" w:color="auto"/>
            <w:left w:val="none" w:sz="0" w:space="0" w:color="auto"/>
            <w:bottom w:val="none" w:sz="0" w:space="0" w:color="auto"/>
            <w:right w:val="none" w:sz="0" w:space="0" w:color="auto"/>
          </w:divBdr>
        </w:div>
        <w:div w:id="1630822170">
          <w:marLeft w:val="7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WG2_RL2//TSGR2_116-e/Docs/R2-211124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TotalTime>
  <Pages>3</Pages>
  <Words>878</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38</cp:revision>
  <cp:lastPrinted>2009-10-21T14:47:00Z</cp:lastPrinted>
  <dcterms:created xsi:type="dcterms:W3CDTF">2022-04-18T08:51:00Z</dcterms:created>
  <dcterms:modified xsi:type="dcterms:W3CDTF">2022-04-25T18:47:00Z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